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FC1" w:rsidRPr="00E421E1" w:rsidRDefault="006F1FC1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6F1FC1" w:rsidRPr="00E421E1" w:rsidRDefault="006F1FC1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8C527D" w:rsidRPr="00E421E1" w:rsidRDefault="00563A42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  <w:r w:rsidRPr="00E421E1">
        <w:rPr>
          <w:rFonts w:ascii="Liberation Serif" w:hAnsi="Liberation Serif" w:cs="Times New Roman"/>
          <w:noProof/>
          <w:color w:val="663300"/>
          <w:sz w:val="28"/>
          <w:szCs w:val="28"/>
        </w:rPr>
        <w:drawing>
          <wp:inline distT="0" distB="0" distL="0" distR="0">
            <wp:extent cx="4177307" cy="598714"/>
            <wp:effectExtent l="19050" t="0" r="0" b="0"/>
            <wp:docPr id="1" name="Рисунок 1" descr="C:\Users\Кузнецова Светлана\Documents\ДЛЯ БРОШЮРЫ\заголов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узнецова Светлана\Documents\ДЛЯ БРОШЮРЫ\заголовок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623" cy="602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27D" w:rsidRPr="00E421E1" w:rsidRDefault="008C527D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5A5BEA" w:rsidRPr="003577EC" w:rsidRDefault="00297E18" w:rsidP="00297E18">
      <w:pPr>
        <w:jc w:val="center"/>
        <w:rPr>
          <w:rFonts w:ascii="Liberation Serif" w:hAnsi="Liberation Serif" w:cs="Times New Roman"/>
          <w:color w:val="663300"/>
          <w:sz w:val="32"/>
          <w:szCs w:val="32"/>
        </w:rPr>
      </w:pPr>
      <w:r w:rsidRPr="003577EC">
        <w:rPr>
          <w:rFonts w:ascii="Liberation Serif" w:hAnsi="Liberation Serif" w:cs="Times New Roman"/>
          <w:color w:val="663300"/>
          <w:sz w:val="32"/>
          <w:szCs w:val="32"/>
        </w:rPr>
        <w:t>Разработка научно-проектной документации по реставрации объектов культурного наследия Псковской области – «Ансамбль Псковского Кремля: Варлаамовский угол (башни и стены Окольно</w:t>
      </w:r>
      <w:r w:rsidR="00563A42" w:rsidRPr="003577EC">
        <w:rPr>
          <w:rFonts w:ascii="Liberation Serif" w:hAnsi="Liberation Serif" w:cs="Times New Roman"/>
          <w:color w:val="663300"/>
          <w:sz w:val="32"/>
          <w:szCs w:val="32"/>
        </w:rPr>
        <w:t>го города)» и «Двор Постникова»</w:t>
      </w:r>
    </w:p>
    <w:p w:rsidR="00297E18" w:rsidRPr="00E421E1" w:rsidRDefault="00297E18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8D2E2F" w:rsidRPr="00E421E1" w:rsidRDefault="00563A42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Подпроект: «</w:t>
      </w:r>
      <w:r w:rsidR="00320DF4">
        <w:rPr>
          <w:rFonts w:ascii="Liberation Serif" w:hAnsi="Liberation Serif" w:cs="Times New Roman"/>
          <w:b/>
          <w:color w:val="663300"/>
          <w:sz w:val="32"/>
          <w:szCs w:val="32"/>
        </w:rPr>
        <w:t>Двор Постникова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»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195"/>
      </w:tblGrid>
      <w:tr w:rsidR="008D2E2F" w:rsidRPr="00E421E1" w:rsidTr="008D2E2F">
        <w:tc>
          <w:tcPr>
            <w:tcW w:w="21762" w:type="dxa"/>
          </w:tcPr>
          <w:p w:rsidR="008D2E2F" w:rsidRPr="00E421E1" w:rsidRDefault="00320DF4" w:rsidP="00297E18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320DF4"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  <w:drawing>
                <wp:inline distT="0" distB="0" distL="0" distR="0">
                  <wp:extent cx="7209064" cy="5365208"/>
                  <wp:effectExtent l="19050" t="0" r="0" b="0"/>
                  <wp:docPr id="5" name="Рисунок 1" descr="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8062" cy="53644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E2F" w:rsidRPr="00E421E1" w:rsidRDefault="008D2E2F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F56BC0" w:rsidRPr="00E421E1" w:rsidRDefault="00F56BC0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A3636" w:rsidRPr="00E421E1" w:rsidRDefault="00320DF4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320DF4">
        <w:rPr>
          <w:rFonts w:ascii="Liberation Serif" w:hAnsi="Liberation Serif" w:cs="Times New Roman"/>
          <w:color w:val="663300"/>
          <w:sz w:val="32"/>
          <w:szCs w:val="32"/>
        </w:rPr>
        <w:lastRenderedPageBreak/>
        <w:t>«Двор Постникова» является памятником гражданской архитектуры XVII века. Палаты находятся в непосредственной близости от Псковского Кремля и предположительно построены Постниковым – одним из богатейших псковских купцов конца XVII века. Двор является одним из последних комплексов каменных жилых построек, сохраняющих традиции псковского гражданского зодчества XVII века.</w:t>
      </w:r>
    </w:p>
    <w:p w:rsidR="00EA3636" w:rsidRPr="000453AA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0453AA">
        <w:rPr>
          <w:rFonts w:ascii="Liberation Serif" w:hAnsi="Liberation Serif" w:cs="Times New Roman"/>
          <w:color w:val="663300"/>
          <w:sz w:val="32"/>
          <w:szCs w:val="32"/>
        </w:rPr>
        <w:t xml:space="preserve">Согласно  условиям контракта </w:t>
      </w:r>
      <w:r w:rsidR="00E36845" w:rsidRPr="000453AA">
        <w:rPr>
          <w:rFonts w:ascii="Liberation Serif" w:hAnsi="Liberation Serif" w:cs="Times New Roman"/>
          <w:color w:val="663300"/>
          <w:sz w:val="32"/>
          <w:szCs w:val="32"/>
        </w:rPr>
        <w:t xml:space="preserve">CHLW 10-11(d) от 31.10.2014 </w:t>
      </w:r>
      <w:r w:rsidRPr="000453AA">
        <w:rPr>
          <w:rFonts w:ascii="Liberation Serif" w:hAnsi="Liberation Serif" w:cs="Times New Roman"/>
          <w:color w:val="663300"/>
          <w:sz w:val="32"/>
          <w:szCs w:val="32"/>
        </w:rPr>
        <w:t xml:space="preserve">компания  «АРТ-Реставрация» разработала проект реставрации с приспособлением на объекты культурного наследия федерального значения: </w:t>
      </w:r>
    </w:p>
    <w:p w:rsidR="00EA3636" w:rsidRPr="00F06819" w:rsidRDefault="00F06819" w:rsidP="00F06819">
      <w:pPr>
        <w:pStyle w:val="aa"/>
        <w:numPr>
          <w:ilvl w:val="0"/>
          <w:numId w:val="2"/>
        </w:numPr>
        <w:spacing w:before="120" w:line="360" w:lineRule="auto"/>
        <w:ind w:left="1134" w:firstLine="567"/>
        <w:jc w:val="both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F06819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«Два здания «Мешок»,  XVII в.»</w:t>
      </w: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Целью реализации подпроекта «</w:t>
      </w:r>
      <w:r w:rsidR="00320DF4">
        <w:rPr>
          <w:rFonts w:ascii="Liberation Serif" w:hAnsi="Liberation Serif" w:cs="Times New Roman"/>
          <w:color w:val="663300"/>
          <w:sz w:val="32"/>
          <w:szCs w:val="32"/>
        </w:rPr>
        <w:t xml:space="preserve">Двор Постникова» </w:t>
      </w:r>
      <w:r w:rsidR="00320DF4" w:rsidRPr="00320DF4">
        <w:rPr>
          <w:rFonts w:ascii="Liberation Serif" w:hAnsi="Liberation Serif" w:cs="Times New Roman"/>
          <w:color w:val="663300"/>
          <w:sz w:val="32"/>
          <w:szCs w:val="32"/>
        </w:rPr>
        <w:t>является восстановление комплекса двора в первоначальном, исторически сложившемся виде.</w:t>
      </w: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Основной задачей разработанной проектной документации сохранение, консервация и воссоздание архитектурно-художественного облика и объёмно-пространственной компо</w:t>
      </w:r>
      <w:r w:rsidR="006F2765">
        <w:rPr>
          <w:rFonts w:ascii="Liberation Serif" w:hAnsi="Liberation Serif" w:cs="Times New Roman"/>
          <w:color w:val="663300"/>
          <w:sz w:val="32"/>
          <w:szCs w:val="32"/>
        </w:rPr>
        <w:t>зиции всех строений и элементов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>.</w:t>
      </w:r>
    </w:p>
    <w:p w:rsidR="00EA3636" w:rsidRDefault="006F2765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В настоящее время здания не эксплуатируются и имеют вид, исторически сложившийся к концу XVIII века, с отдельными утратами и искажениями позднейшего времени.</w:t>
      </w:r>
    </w:p>
    <w:p w:rsidR="006F2765" w:rsidRPr="00E421E1" w:rsidRDefault="006F2765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Инженерных систем нет (утрачены).</w:t>
      </w:r>
    </w:p>
    <w:p w:rsidR="001E5604" w:rsidRPr="00E421E1" w:rsidRDefault="006F2765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В 2014 г. постройки комплекса двора Посникова были переданы Псковскому Областному краеведческому музею.</w:t>
      </w:r>
    </w:p>
    <w:p w:rsidR="0074282C" w:rsidRPr="00E421E1" w:rsidRDefault="001E5604" w:rsidP="0074282C">
      <w:pPr>
        <w:jc w:val="center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74282C" w:rsidRPr="00E421E1" w:rsidRDefault="0074282C" w:rsidP="009905C1">
      <w:pPr>
        <w:ind w:left="1134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Технико-экономические показатели земельного участка.</w:t>
      </w:r>
    </w:p>
    <w:p w:rsidR="0074282C" w:rsidRDefault="0074282C" w:rsidP="009905C1">
      <w:pPr>
        <w:ind w:left="1134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6F2765" w:rsidRPr="00E421E1" w:rsidRDefault="006F2765" w:rsidP="009905C1">
      <w:pPr>
        <w:ind w:left="1134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6F2765" w:rsidRPr="006F2765" w:rsidRDefault="006F2765" w:rsidP="006F2765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Площадь землепользования –</w:t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  <w:t>0,386 га</w:t>
      </w:r>
    </w:p>
    <w:p w:rsidR="006F2765" w:rsidRPr="006F2765" w:rsidRDefault="006F2765" w:rsidP="006F2765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 xml:space="preserve">Площадь застройки – </w:t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  <w:t> 874,3 м</w:t>
      </w:r>
      <w:r w:rsidRPr="006F2765">
        <w:rPr>
          <w:rFonts w:ascii="Liberation Serif" w:hAnsi="Liberation Serif" w:cs="Times New Roman"/>
          <w:color w:val="663300"/>
          <w:sz w:val="32"/>
          <w:szCs w:val="32"/>
          <w:vertAlign w:val="superscript"/>
        </w:rPr>
        <w:t>2</w:t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</w:p>
    <w:p w:rsidR="006F2765" w:rsidRPr="006F2765" w:rsidRDefault="006F2765" w:rsidP="006F2765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 xml:space="preserve">Площадь покрытия проездов и дорожек каменной брусчаткой – </w:t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  <w:t>802,1 м</w:t>
      </w:r>
      <w:r w:rsidRPr="006F2765">
        <w:rPr>
          <w:rFonts w:ascii="Liberation Serif" w:hAnsi="Liberation Serif" w:cs="Times New Roman"/>
          <w:color w:val="663300"/>
          <w:sz w:val="32"/>
          <w:szCs w:val="32"/>
          <w:vertAlign w:val="superscript"/>
        </w:rPr>
        <w:t>2</w:t>
      </w:r>
    </w:p>
    <w:p w:rsidR="006F2765" w:rsidRPr="006F2765" w:rsidRDefault="006F2765" w:rsidP="006F2765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</w:p>
    <w:p w:rsidR="006F2765" w:rsidRPr="006F2765" w:rsidRDefault="006F2765" w:rsidP="006F2765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Площадь газона –</w:t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  <w:t>1651 м</w:t>
      </w:r>
      <w:r w:rsidRPr="006F2765">
        <w:rPr>
          <w:rFonts w:ascii="Liberation Serif" w:hAnsi="Liberation Serif" w:cs="Times New Roman"/>
          <w:color w:val="663300"/>
          <w:sz w:val="32"/>
          <w:szCs w:val="32"/>
          <w:vertAlign w:val="superscript"/>
        </w:rPr>
        <w:t>2</w:t>
      </w:r>
    </w:p>
    <w:p w:rsidR="006F2765" w:rsidRPr="006F2765" w:rsidRDefault="006F2765" w:rsidP="006F2765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Площадь парковки автотранспорта –</w:t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6F2765">
        <w:rPr>
          <w:rFonts w:ascii="Liberation Serif" w:hAnsi="Liberation Serif" w:cs="Times New Roman"/>
          <w:color w:val="663300"/>
          <w:sz w:val="32"/>
          <w:szCs w:val="32"/>
        </w:rPr>
        <w:tab/>
        <w:t>70,6 м</w:t>
      </w:r>
      <w:r w:rsidRPr="006F2765">
        <w:rPr>
          <w:rFonts w:ascii="Liberation Serif" w:hAnsi="Liberation Serif" w:cs="Times New Roman"/>
          <w:color w:val="663300"/>
          <w:sz w:val="32"/>
          <w:szCs w:val="32"/>
          <w:vertAlign w:val="superscript"/>
        </w:rPr>
        <w:t>2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</w:p>
    <w:p w:rsidR="0074282C" w:rsidRPr="00E421E1" w:rsidRDefault="0074282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74282C" w:rsidRPr="00E421E1" w:rsidRDefault="0074282C" w:rsidP="009905C1">
      <w:pPr>
        <w:ind w:left="1701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4282C" w:rsidRPr="00E421E1" w:rsidRDefault="0074282C" w:rsidP="009905C1">
      <w:pPr>
        <w:ind w:left="1701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4282C" w:rsidRPr="00E421E1" w:rsidRDefault="0074282C" w:rsidP="009905C1">
      <w:pPr>
        <w:ind w:left="1701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Сведения о потребности объекта в топливе, воде и электрической энергии.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</w:p>
    <w:p w:rsidR="0074282C" w:rsidRPr="00E421E1" w:rsidRDefault="0074282C" w:rsidP="009905C1">
      <w:pPr>
        <w:pStyle w:val="aa"/>
        <w:numPr>
          <w:ilvl w:val="0"/>
          <w:numId w:val="3"/>
        </w:numPr>
        <w:ind w:left="1701" w:firstLine="0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Потребность в водоснабжение.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Здания оборудуются: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 xml:space="preserve">   - системой хозяйственно-питьевого водопровода;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 xml:space="preserve">   - системой горячего водоснабжения от электрических водонагревателей;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 xml:space="preserve">  - системой противопожарного водопровода.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9905C1">
      <w:pPr>
        <w:pStyle w:val="aa"/>
        <w:numPr>
          <w:ilvl w:val="0"/>
          <w:numId w:val="3"/>
        </w:numPr>
        <w:ind w:left="1701" w:firstLine="0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Потребность в электроэнергии.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Максимальная мощность присоединяемых энергопринимающих устройств: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-Здания «Мешок-1»  - 100,0 кВт;</w:t>
      </w:r>
    </w:p>
    <w:p w:rsidR="006F2765" w:rsidRPr="006F2765" w:rsidRDefault="006F2765" w:rsidP="006F2765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color w:val="663300"/>
          <w:sz w:val="32"/>
          <w:szCs w:val="32"/>
        </w:rPr>
        <w:t>- Здания «Мешок-2»  - 50,0 кВт.</w:t>
      </w:r>
      <w:r w:rsidRPr="006F2765" w:rsidDel="00A5496D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74282C" w:rsidRPr="00E421E1" w:rsidRDefault="0074282C" w:rsidP="0074282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Площади реставрируемых объектов</w:t>
      </w:r>
    </w:p>
    <w:p w:rsidR="0074282C" w:rsidRPr="00E421E1" w:rsidRDefault="0074282C" w:rsidP="0074282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1"/>
        <w:gridCol w:w="11285"/>
        <w:gridCol w:w="2245"/>
      </w:tblGrid>
      <w:tr w:rsidR="006F2765" w:rsidRPr="00771012" w:rsidTr="006F2765">
        <w:trPr>
          <w:trHeight w:val="2269"/>
          <w:jc w:val="center"/>
        </w:trPr>
        <w:tc>
          <w:tcPr>
            <w:tcW w:w="1341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№№</w:t>
            </w:r>
          </w:p>
          <w:p w:rsidR="006F2765" w:rsidRPr="006F2765" w:rsidRDefault="006F2765" w:rsidP="006F2765">
            <w:pPr>
              <w:spacing w:after="0" w:line="240" w:lineRule="auto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п/п</w:t>
            </w:r>
          </w:p>
        </w:tc>
        <w:tc>
          <w:tcPr>
            <w:tcW w:w="11285" w:type="dxa"/>
            <w:shd w:val="clear" w:color="auto" w:fill="auto"/>
            <w:vAlign w:val="center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Наименование объекта</w:t>
            </w:r>
          </w:p>
        </w:tc>
        <w:tc>
          <w:tcPr>
            <w:tcW w:w="224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Объем</w:t>
            </w:r>
          </w:p>
          <w:p w:rsidR="006F2765" w:rsidRPr="006F2765" w:rsidRDefault="006F2765" w:rsidP="006F2765">
            <w:pPr>
              <w:spacing w:after="0" w:line="240" w:lineRule="auto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общий, м³</w:t>
            </w:r>
          </w:p>
        </w:tc>
      </w:tr>
      <w:tr w:rsidR="006F2765" w:rsidRPr="00771012" w:rsidTr="006F2765">
        <w:trPr>
          <w:trHeight w:val="744"/>
          <w:jc w:val="center"/>
        </w:trPr>
        <w:tc>
          <w:tcPr>
            <w:tcW w:w="1341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1</w:t>
            </w:r>
          </w:p>
        </w:tc>
        <w:tc>
          <w:tcPr>
            <w:tcW w:w="1128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Мешок-1.</w:t>
            </w:r>
          </w:p>
        </w:tc>
        <w:tc>
          <w:tcPr>
            <w:tcW w:w="224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right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10160</w:t>
            </w:r>
          </w:p>
        </w:tc>
      </w:tr>
      <w:tr w:rsidR="006F2765" w:rsidRPr="00771012" w:rsidTr="006F2765">
        <w:trPr>
          <w:trHeight w:val="744"/>
          <w:jc w:val="center"/>
        </w:trPr>
        <w:tc>
          <w:tcPr>
            <w:tcW w:w="1341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1128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224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right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 </w:t>
            </w:r>
          </w:p>
        </w:tc>
      </w:tr>
      <w:tr w:rsidR="006F2765" w:rsidRPr="00771012" w:rsidTr="006F2765">
        <w:trPr>
          <w:trHeight w:val="744"/>
          <w:jc w:val="center"/>
        </w:trPr>
        <w:tc>
          <w:tcPr>
            <w:tcW w:w="1341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2</w:t>
            </w:r>
          </w:p>
        </w:tc>
        <w:tc>
          <w:tcPr>
            <w:tcW w:w="1128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Мешок-2.</w:t>
            </w:r>
          </w:p>
        </w:tc>
        <w:tc>
          <w:tcPr>
            <w:tcW w:w="2245" w:type="dxa"/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right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2770</w:t>
            </w:r>
          </w:p>
        </w:tc>
      </w:tr>
      <w:tr w:rsidR="006F2765" w:rsidRPr="00771012" w:rsidTr="006F2765">
        <w:trPr>
          <w:trHeight w:val="744"/>
          <w:jc w:val="center"/>
        </w:trPr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1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right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 </w:t>
            </w:r>
          </w:p>
        </w:tc>
      </w:tr>
      <w:tr w:rsidR="006F2765" w:rsidRPr="00771012" w:rsidTr="006F2765">
        <w:trPr>
          <w:trHeight w:val="744"/>
          <w:jc w:val="center"/>
        </w:trPr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center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1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right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Всего: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2765" w:rsidRPr="006F2765" w:rsidRDefault="006F2765" w:rsidP="006F2765">
            <w:pPr>
              <w:spacing w:after="0" w:line="240" w:lineRule="auto"/>
              <w:jc w:val="right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6F2765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12930</w:t>
            </w:r>
          </w:p>
        </w:tc>
      </w:tr>
    </w:tbl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550E63" w:rsidRPr="00E421E1" w:rsidRDefault="00550E63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563A42" w:rsidRPr="00E421E1" w:rsidRDefault="00E6729E" w:rsidP="0074282C">
      <w:pPr>
        <w:pStyle w:val="aa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Схема планировочной</w:t>
      </w:r>
      <w:r w:rsidR="006F2765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организации земельного участка</w:t>
      </w:r>
    </w:p>
    <w:p w:rsidR="00E6729E" w:rsidRPr="00E421E1" w:rsidRDefault="00E6729E" w:rsidP="00E6729E">
      <w:pPr>
        <w:pStyle w:val="aa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9905C1" w:rsidRPr="00E421E1" w:rsidRDefault="006F2765" w:rsidP="00C90F71">
      <w:pPr>
        <w:pStyle w:val="aa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b/>
          <w:color w:val="663300"/>
          <w:sz w:val="32"/>
          <w:szCs w:val="32"/>
        </w:rPr>
        <w:object w:dxaOrig="25260" w:dyaOrig="178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65.25pt;height:681pt" o:ole="">
            <v:imagedata r:id="rId9" o:title=""/>
          </v:shape>
          <o:OLEObject Type="Embed" ProgID="AcroExch.Document.11" ShapeID="_x0000_i1025" DrawAspect="Content" ObjectID="_1526192297" r:id="rId10"/>
        </w:object>
      </w:r>
      <w:r w:rsidR="00E6729E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br w:type="textWrapping" w:clear="all"/>
      </w:r>
    </w:p>
    <w:p w:rsidR="00C90F71" w:rsidRPr="00E421E1" w:rsidRDefault="00F61DBD" w:rsidP="00C90F71">
      <w:pPr>
        <w:pStyle w:val="aa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Сводный план сетей</w:t>
      </w:r>
    </w:p>
    <w:p w:rsidR="00712C44" w:rsidRPr="00E421E1" w:rsidRDefault="006F2765" w:rsidP="006F2765">
      <w:pPr>
        <w:ind w:left="993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6F2765">
        <w:rPr>
          <w:rFonts w:ascii="Liberation Serif" w:hAnsi="Liberation Serif" w:cs="Times New Roman"/>
          <w:b/>
          <w:color w:val="663300"/>
          <w:sz w:val="32"/>
          <w:szCs w:val="32"/>
        </w:rPr>
        <w:object w:dxaOrig="12630" w:dyaOrig="17880">
          <v:shape id="_x0000_i1026" type="#_x0000_t75" style="width:492.75pt;height:698.25pt" o:ole="">
            <v:imagedata r:id="rId11" o:title=""/>
          </v:shape>
          <o:OLEObject Type="Embed" ProgID="AcroExch.Document.11" ShapeID="_x0000_i1026" DrawAspect="Content" ObjectID="_1526192298" r:id="rId12"/>
        </w:object>
      </w:r>
    </w:p>
    <w:p w:rsidR="00C90F71" w:rsidRPr="00E421E1" w:rsidRDefault="00E00A2F" w:rsidP="00C90F7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Архитектурные решения. Восточный фасад.</w:t>
      </w:r>
    </w:p>
    <w:p w:rsidR="00844358" w:rsidRPr="00E421E1" w:rsidRDefault="005F7950" w:rsidP="00C90F7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0795" cy="1079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641F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2553436" cy="8980714"/>
            <wp:effectExtent l="19050" t="0" r="514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0477" cy="897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011" w:rsidRDefault="004D7011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Pr="004D701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,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Разрез 2-2.</w:t>
      </w:r>
      <w:r w:rsidR="005A24C8" w:rsidRPr="005A24C8">
        <w:rPr>
          <w:rFonts w:ascii="Liberation Serif" w:hAnsi="Liberation Serif" w:cs="Times New Roman"/>
          <w:noProof/>
          <w:color w:val="663300"/>
          <w:sz w:val="28"/>
          <w:szCs w:val="28"/>
        </w:rPr>
        <w:drawing>
          <wp:inline distT="0" distB="0" distL="0" distR="0">
            <wp:extent cx="11856109" cy="8481848"/>
            <wp:effectExtent l="19050" t="0" r="0" b="0"/>
            <wp:docPr id="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4217" cy="8487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701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p w:rsidR="00563A42" w:rsidRPr="004D7011" w:rsidRDefault="004D7011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. </w:t>
      </w:r>
      <w:r w:rsidR="00E2393C">
        <w:rPr>
          <w:rFonts w:ascii="Liberation Serif" w:hAnsi="Liberation Serif" w:cs="Times New Roman"/>
          <w:b/>
          <w:color w:val="663300"/>
          <w:sz w:val="32"/>
          <w:szCs w:val="32"/>
        </w:rPr>
        <w:t>Северный фасад.</w:t>
      </w:r>
      <w:r w:rsidR="000453AA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  <w:r w:rsidR="00E2393C" w:rsidRPr="00E2393C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2304878" cy="8802897"/>
            <wp:effectExtent l="19050" t="0" r="1422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4497" cy="8809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393C" w:rsidRPr="00E2393C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  <w:r w:rsidR="00E2393C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 w:rsidR="00E2393C"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="00E2393C">
        <w:rPr>
          <w:rFonts w:ascii="Liberation Serif" w:hAnsi="Liberation Serif" w:cs="Times New Roman"/>
          <w:b/>
          <w:color w:val="663300"/>
          <w:sz w:val="32"/>
          <w:szCs w:val="32"/>
        </w:rPr>
        <w:t>. Разрез 1-1</w:t>
      </w:r>
      <w:r w:rsidR="00E2393C" w:rsidRPr="00E2393C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t xml:space="preserve"> </w:t>
      </w:r>
      <w:r w:rsidR="0061641F">
        <w:rPr>
          <w:rFonts w:ascii="Liberation Serif" w:hAnsi="Liberation Serif" w:cs="Times New Roman"/>
          <w:noProof/>
          <w:color w:val="663300"/>
          <w:sz w:val="28"/>
          <w:szCs w:val="28"/>
        </w:rPr>
        <w:drawing>
          <wp:inline distT="0" distB="0" distL="0" distR="0">
            <wp:extent cx="12183461" cy="8716035"/>
            <wp:effectExtent l="19050" t="0" r="8539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1793" cy="8721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2" w:rsidRDefault="00FC2E52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0C1107" w:rsidRDefault="000C1107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План подклета.</w:t>
      </w:r>
      <w:r w:rsidRPr="000453AA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t xml:space="preserve"> </w:t>
      </w: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9124950" cy="9124950"/>
            <wp:effectExtent l="19050" t="0" r="0" b="0"/>
            <wp:docPr id="4353" name="Рисунок 4353" descr="C:\Users\user\Desktop\Мешки_План подклета.А0+412х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3" descr="C:\Users\user\Desktop\Мешки_План подклета.А0+412х4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2341" cy="9122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AD1" w:rsidRDefault="00C47AD1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План 1-го этажа.</w:t>
      </w:r>
    </w:p>
    <w:p w:rsidR="00C47AD1" w:rsidRDefault="00710E22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8550379" cy="8886825"/>
            <wp:effectExtent l="19050" t="0" r="3071" b="0"/>
            <wp:docPr id="11" name="Рисунок 11" descr="C:\Users\user\Desktop\Мешок 1_План 1-го этажа А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Мешок 1_План 1-го этажа А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8433" t="1509" r="15939" b="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2669" cy="888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AD1" w:rsidRDefault="00C47AD1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План 2-го этажа.</w:t>
      </w:r>
    </w:p>
    <w:p w:rsidR="00C47AD1" w:rsidRDefault="00C47AD1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8375815" cy="8715375"/>
            <wp:effectExtent l="19050" t="0" r="6185" b="0"/>
            <wp:docPr id="4356" name="Рисунок 4356" descr="C:\Users\user\Desktop\Мешок 1_План 2-го этажа А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6" descr="C:\Users\user\Desktop\Мешок 1_План 2-го этажа А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815" cy="871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E22" w:rsidRDefault="00710E22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10E22" w:rsidRDefault="00710E22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Мансардный этаж.</w:t>
      </w:r>
    </w:p>
    <w:p w:rsidR="005E5CBC" w:rsidRDefault="00710E22" w:rsidP="005E5CB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8331240" cy="8858250"/>
            <wp:effectExtent l="19050" t="0" r="0" b="0"/>
            <wp:docPr id="3" name="Рисунок 12" descr="C:\Users\user\Desktop\Мешок 1_План мансардного этажа А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Мешок 1_План мансардного этажа А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8344" r="15494" b="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4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2" w:rsidRDefault="004D7011" w:rsidP="004D701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="00C741E9"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. </w:t>
      </w:r>
      <w:r w:rsidR="00C741E9">
        <w:rPr>
          <w:rFonts w:ascii="Liberation Serif" w:hAnsi="Liberation Serif" w:cs="Times New Roman"/>
          <w:b/>
          <w:color w:val="663300"/>
          <w:sz w:val="32"/>
          <w:szCs w:val="32"/>
        </w:rPr>
        <w:t>Южный фасад.</w:t>
      </w:r>
      <w:r w:rsidR="000453AA" w:rsidRPr="000453AA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t xml:space="preserve"> </w:t>
      </w:r>
      <w:r w:rsidR="000453AA" w:rsidRPr="000453AA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2004627" cy="8489819"/>
            <wp:effectExtent l="19050" t="0" r="0" b="0"/>
            <wp:docPr id="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011" cy="8496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0C66" w:rsidRPr="00EA0C66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  <w:r w:rsidR="00EA0C66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 w:rsidR="00EA0C66"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="00C741E9"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="00EA0C66">
        <w:rPr>
          <w:rFonts w:ascii="Liberation Serif" w:hAnsi="Liberation Serif" w:cs="Times New Roman"/>
          <w:b/>
          <w:color w:val="663300"/>
          <w:sz w:val="32"/>
          <w:szCs w:val="32"/>
        </w:rPr>
        <w:t>. Разрез 1-1</w:t>
      </w:r>
      <w:r w:rsidR="00EA0C66" w:rsidRPr="000453AA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t xml:space="preserve"> </w:t>
      </w:r>
      <w:r w:rsidR="005A24C8" w:rsidRPr="005A24C8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1887550" cy="8407021"/>
            <wp:effectExtent l="19050" t="0" r="0" b="0"/>
            <wp:docPr id="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6843" cy="8413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416" w:rsidRDefault="00F44416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5E5CBC" w:rsidRDefault="005E5CBC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5E5CBC" w:rsidRDefault="005E5CBC" w:rsidP="005E5CB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План подклета.</w:t>
      </w:r>
    </w:p>
    <w:p w:rsidR="005E5CBC" w:rsidRDefault="005E5CBC" w:rsidP="005E5CB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2838368" cy="9067602"/>
            <wp:effectExtent l="19050" t="0" r="1332" b="0"/>
            <wp:docPr id="14" name="Рисунок 14" descr="C:\Users\user\Desktop\Мешок 2_План подклета 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Мешок 2_План подклета А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5981" cy="906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CBC" w:rsidRDefault="005E5CBC" w:rsidP="005E5CB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Архитектурные решения. Мешок </w:t>
      </w:r>
      <w:r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II</w:t>
      </w:r>
      <w:r>
        <w:rPr>
          <w:rFonts w:ascii="Liberation Serif" w:hAnsi="Liberation Serif" w:cs="Times New Roman"/>
          <w:b/>
          <w:color w:val="663300"/>
          <w:sz w:val="32"/>
          <w:szCs w:val="32"/>
        </w:rPr>
        <w:t>. План мансардного этажа.</w:t>
      </w:r>
    </w:p>
    <w:p w:rsidR="005E5CBC" w:rsidRPr="00C741E9" w:rsidRDefault="005E5CBC" w:rsidP="005E5CB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2068175" cy="8523624"/>
            <wp:effectExtent l="19050" t="0" r="9525" b="0"/>
            <wp:docPr id="15" name="Рисунок 15" descr="C:\Users\user\Desktop\Мешок 2_План мансардного этажа 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Мешок 2_План мансардного этажа А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4737" cy="8528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51F" w:rsidRPr="00E421E1" w:rsidRDefault="00D1451F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br w:type="page"/>
      </w:r>
    </w:p>
    <w:p w:rsidR="00E52028" w:rsidRP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Объект культурного наследия федерального значения </w:t>
      </w:r>
    </w:p>
    <w:p w:rsidR="00730DE4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>«Два здания «Мешок»,  XVII в.»</w:t>
      </w:r>
      <w:r w:rsidR="00BD1A98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p w:rsid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P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703"/>
        <w:gridCol w:w="11492"/>
      </w:tblGrid>
      <w:tr w:rsidR="00BB7B50" w:rsidRPr="00E421E1" w:rsidTr="007033C9">
        <w:tc>
          <w:tcPr>
            <w:tcW w:w="9784" w:type="dxa"/>
          </w:tcPr>
          <w:p w:rsidR="00BB7B50" w:rsidRPr="00E421E1" w:rsidRDefault="00BB7B50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  <w:p w:rsidR="00BB7B50" w:rsidRPr="00E421E1" w:rsidRDefault="00575C63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  <w:drawing>
                <wp:inline distT="0" distB="0" distL="0" distR="0">
                  <wp:extent cx="5863732" cy="4339988"/>
                  <wp:effectExtent l="19050" t="0" r="3668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5578" t="2208" r="5606" b="10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3732" cy="43399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78" w:type="dxa"/>
          </w:tcPr>
          <w:p w:rsidR="008427C9" w:rsidRPr="00E421E1" w:rsidRDefault="008427C9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8427C9" w:rsidRPr="00E421E1" w:rsidRDefault="00575C63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4E5A4B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25275" w:dyaOrig="17880">
                <v:shape id="_x0000_i1027" type="#_x0000_t75" style="width:499.5pt;height:353.25pt" o:ole="">
                  <v:imagedata r:id="rId27" o:title=""/>
                </v:shape>
                <o:OLEObject Type="Embed" ProgID="AcroExch.Document.11" ShapeID="_x0000_i1027" DrawAspect="Content" ObjectID="_1526192299" r:id="rId28"/>
              </w:object>
            </w:r>
          </w:p>
        </w:tc>
      </w:tr>
    </w:tbl>
    <w:p w:rsidR="00BB7B50" w:rsidRDefault="00BB7B50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Pr="00E421E1" w:rsidRDefault="00E52028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BD1A98" w:rsidRDefault="00BD1A98" w:rsidP="00730DE4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730DE4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P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Объект культурного наследия федерального значения </w:t>
      </w:r>
    </w:p>
    <w:p w:rsidR="00730DE4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>«Два здания «Мешок»,  XVII в.»</w:t>
      </w:r>
      <w:r w:rsidR="00BD1A98"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p w:rsid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Pr="00E52028" w:rsidRDefault="00E52028" w:rsidP="00E52028">
      <w:pPr>
        <w:spacing w:before="120" w:line="360" w:lineRule="auto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Pr="00E52028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996"/>
        <w:gridCol w:w="11199"/>
      </w:tblGrid>
      <w:tr w:rsidR="006B5197" w:rsidRPr="00E421E1" w:rsidTr="00E52028">
        <w:tc>
          <w:tcPr>
            <w:tcW w:w="9996" w:type="dxa"/>
          </w:tcPr>
          <w:p w:rsidR="00BD1A98" w:rsidRPr="00E421E1" w:rsidRDefault="00F06819" w:rsidP="00224823">
            <w:pPr>
              <w:jc w:val="center"/>
              <w:rPr>
                <w:rFonts w:ascii="Liberation Serif" w:hAnsi="Liberation Serif"/>
                <w:color w:val="663300"/>
              </w:rPr>
            </w:pPr>
            <w:r>
              <w:rPr>
                <w:rFonts w:ascii="Liberation Serif" w:hAnsi="Liberation Serif"/>
                <w:noProof/>
                <w:color w:val="663300"/>
              </w:rPr>
              <w:drawing>
                <wp:inline distT="0" distB="0" distL="0" distR="0">
                  <wp:extent cx="6190682" cy="4647521"/>
                  <wp:effectExtent l="19050" t="0" r="568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5778" t="1449" r="5608" b="98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0682" cy="4647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1A98" w:rsidRPr="00E421E1" w:rsidRDefault="00BD1A98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BD1A98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11199" w:type="dxa"/>
          </w:tcPr>
          <w:p w:rsidR="008427C9" w:rsidRPr="00E421E1" w:rsidRDefault="00F06819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4A741E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25275" w:dyaOrig="17880">
                <v:shape id="_x0000_i1028" type="#_x0000_t75" style="width:527.25pt;height:373.5pt" o:ole="">
                  <v:imagedata r:id="rId30" o:title=""/>
                </v:shape>
                <o:OLEObject Type="Embed" ProgID="AcroExch.Document.11" ShapeID="_x0000_i1028" DrawAspect="Content" ObjectID="_1526192300" r:id="rId31"/>
              </w:object>
            </w:r>
          </w:p>
        </w:tc>
      </w:tr>
    </w:tbl>
    <w:p w:rsid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52028" w:rsidRP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Объект культурного наследия федерального значения </w:t>
      </w:r>
    </w:p>
    <w:p w:rsidR="002836FF" w:rsidRPr="00E421E1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>«Два здания «Мешок»,  XVII в.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388"/>
        <w:gridCol w:w="10807"/>
      </w:tblGrid>
      <w:tr w:rsidR="002836FF" w:rsidRPr="00E421E1" w:rsidTr="007033C9">
        <w:trPr>
          <w:trHeight w:val="12463"/>
        </w:trPr>
        <w:tc>
          <w:tcPr>
            <w:tcW w:w="11165" w:type="dxa"/>
          </w:tcPr>
          <w:p w:rsidR="002836FF" w:rsidRPr="00E421E1" w:rsidRDefault="00E5202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  <w:drawing>
                <wp:inline distT="0" distB="0" distL="0" distR="0">
                  <wp:extent cx="6381750" cy="4805667"/>
                  <wp:effectExtent l="1905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5903" t="2204" r="5848" b="9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0" cy="4805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65" w:type="dxa"/>
          </w:tcPr>
          <w:p w:rsidR="002836FF" w:rsidRPr="00E421E1" w:rsidRDefault="00575C63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4A741E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25275" w:dyaOrig="17880">
                <v:shape id="_x0000_i1029" type="#_x0000_t75" style="width:529.5pt;height:374.25pt" o:ole="">
                  <v:imagedata r:id="rId33" o:title=""/>
                </v:shape>
                <o:OLEObject Type="Embed" ProgID="AcroExch.Document.11" ShapeID="_x0000_i1029" DrawAspect="Content" ObjectID="_1526192301" r:id="rId34"/>
              </w:object>
            </w:r>
          </w:p>
        </w:tc>
      </w:tr>
    </w:tbl>
    <w:p w:rsidR="002836FF" w:rsidRPr="00E421E1" w:rsidRDefault="002836FF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836FF" w:rsidRPr="00E421E1" w:rsidRDefault="002836FF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br w:type="page"/>
      </w:r>
    </w:p>
    <w:p w:rsidR="00E52028" w:rsidRPr="00E52028" w:rsidRDefault="00E52028" w:rsidP="00E5202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Объект культурного наследия федерального значения </w:t>
      </w:r>
    </w:p>
    <w:p w:rsidR="00E52028" w:rsidRPr="00E421E1" w:rsidRDefault="00E52028" w:rsidP="00E52028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>«Два здания «Мешок»,  XVII в.</w:t>
      </w:r>
    </w:p>
    <w:p w:rsidR="00370B22" w:rsidRDefault="00370B22" w:rsidP="00370B22">
      <w:pPr>
        <w:spacing w:before="120" w:line="360" w:lineRule="auto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370B22">
      <w:pPr>
        <w:spacing w:before="120" w:line="360" w:lineRule="auto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Pr="00E421E1" w:rsidRDefault="002073DC" w:rsidP="00370B22">
      <w:pPr>
        <w:spacing w:before="120" w:line="360" w:lineRule="auto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207"/>
        <w:gridCol w:w="10988"/>
      </w:tblGrid>
      <w:tr w:rsidR="009B5979" w:rsidRPr="00E421E1" w:rsidTr="00E52028">
        <w:tc>
          <w:tcPr>
            <w:tcW w:w="10207" w:type="dxa"/>
          </w:tcPr>
          <w:p w:rsidR="009B5979" w:rsidRPr="00E421E1" w:rsidRDefault="00E5202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  <w:drawing>
                <wp:inline distT="0" distB="0" distL="0" distR="0">
                  <wp:extent cx="6701919" cy="4954137"/>
                  <wp:effectExtent l="19050" t="0" r="3681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5189" t="2446" r="5470" b="9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1919" cy="4954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8" w:type="dxa"/>
          </w:tcPr>
          <w:p w:rsidR="009B5979" w:rsidRPr="00E421E1" w:rsidRDefault="00F159AE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4A741E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25260" w:dyaOrig="17865">
                <v:shape id="_x0000_i1030" type="#_x0000_t75" style="width:570.75pt;height:403.5pt" o:ole="">
                  <v:imagedata r:id="rId36" o:title=""/>
                </v:shape>
                <o:OLEObject Type="Embed" ProgID="AcroExch.Document.11" ShapeID="_x0000_i1030" DrawAspect="Content" ObjectID="_1526192302" r:id="rId37"/>
              </w:object>
            </w:r>
          </w:p>
        </w:tc>
      </w:tr>
      <w:tr w:rsidR="002073DC" w:rsidRPr="00E421E1" w:rsidTr="00E52028">
        <w:tc>
          <w:tcPr>
            <w:tcW w:w="10207" w:type="dxa"/>
          </w:tcPr>
          <w:p w:rsidR="002073DC" w:rsidRDefault="002073DC" w:rsidP="00224823">
            <w:pPr>
              <w:jc w:val="center"/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</w:pPr>
          </w:p>
        </w:tc>
        <w:tc>
          <w:tcPr>
            <w:tcW w:w="10988" w:type="dxa"/>
          </w:tcPr>
          <w:p w:rsidR="002073DC" w:rsidRPr="004A741E" w:rsidRDefault="002073DC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</w:tr>
    </w:tbl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Pr="00E52028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Объект культурного наследия федерального значения </w:t>
      </w:r>
    </w:p>
    <w:p w:rsidR="002073DC" w:rsidRDefault="002073DC" w:rsidP="002073DC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>«Два здания «Мешок»,  XVII в.</w:t>
      </w:r>
    </w:p>
    <w:p w:rsidR="002073DC" w:rsidRDefault="002073DC" w:rsidP="002073DC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Pr="00E421E1" w:rsidRDefault="002073DC" w:rsidP="002073DC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326"/>
        <w:gridCol w:w="10869"/>
      </w:tblGrid>
      <w:tr w:rsidR="002073DC" w:rsidRPr="00E421E1" w:rsidTr="002073DC">
        <w:tc>
          <w:tcPr>
            <w:tcW w:w="10207" w:type="dxa"/>
          </w:tcPr>
          <w:p w:rsidR="002073DC" w:rsidRPr="00E421E1" w:rsidRDefault="002073DC" w:rsidP="000C1107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  <w:drawing>
                <wp:inline distT="0" distB="0" distL="0" distR="0">
                  <wp:extent cx="6395397" cy="4716207"/>
                  <wp:effectExtent l="19050" t="0" r="5403" b="0"/>
                  <wp:docPr id="12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 l="4972" t="2462" r="5503" b="9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2158" cy="4721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8" w:type="dxa"/>
          </w:tcPr>
          <w:p w:rsidR="002073DC" w:rsidRPr="00E421E1" w:rsidRDefault="002073DC" w:rsidP="000C1107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F159AE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17880" w:dyaOrig="12630">
                <v:shape id="_x0000_i1031" type="#_x0000_t75" style="width:529.5pt;height:372.75pt" o:ole="">
                  <v:imagedata r:id="rId39" o:title=""/>
                </v:shape>
                <o:OLEObject Type="Embed" ProgID="AcroExch.Document.11" ShapeID="_x0000_i1031" DrawAspect="Content" ObjectID="_1526192303" r:id="rId40"/>
              </w:object>
            </w:r>
          </w:p>
        </w:tc>
      </w:tr>
    </w:tbl>
    <w:p w:rsidR="00370B22" w:rsidRDefault="00370B22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Pr="00E421E1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Pr="00E52028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 xml:space="preserve">Объект культурного наследия федерального значения </w:t>
      </w:r>
    </w:p>
    <w:p w:rsidR="002073DC" w:rsidRPr="00E421E1" w:rsidRDefault="002073DC" w:rsidP="002073DC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52028">
        <w:rPr>
          <w:rFonts w:ascii="Liberation Serif" w:hAnsi="Liberation Serif" w:cs="Times New Roman"/>
          <w:b/>
          <w:color w:val="663300"/>
          <w:sz w:val="32"/>
          <w:szCs w:val="32"/>
        </w:rPr>
        <w:t>«Два здания «Мешок»,  XVII в.</w:t>
      </w:r>
    </w:p>
    <w:p w:rsidR="00370B22" w:rsidRDefault="00370B22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Pr="00E421E1" w:rsidRDefault="002073DC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370B22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6489256" cy="4836112"/>
            <wp:effectExtent l="19050" t="0" r="6794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6395" t="2386" r="5806" b="10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179" cy="483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59AE">
        <w:rPr>
          <w:rFonts w:ascii="Liberation Serif" w:hAnsi="Liberation Serif" w:cs="Times New Roman"/>
          <w:b/>
          <w:color w:val="663300"/>
          <w:sz w:val="32"/>
          <w:szCs w:val="32"/>
        </w:rPr>
        <w:object w:dxaOrig="17880" w:dyaOrig="12630">
          <v:shape id="_x0000_i1032" type="#_x0000_t75" style="width:534pt;height:378pt" o:ole="">
            <v:imagedata r:id="rId42" o:title=""/>
          </v:shape>
          <o:OLEObject Type="Embed" ProgID="AcroExch.Document.11" ShapeID="_x0000_i1032" DrawAspect="Content" ObjectID="_1526192304" r:id="rId43"/>
        </w:object>
      </w: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073DC" w:rsidRDefault="002073DC" w:rsidP="002073D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73A9C" w:rsidRPr="00E421E1" w:rsidRDefault="00E73A9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E73A9C" w:rsidRPr="00E421E1" w:rsidRDefault="00E73A9C" w:rsidP="00E73A9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Виды работ, предполагаемые к выполнению на объектах культурного наследия</w:t>
      </w:r>
    </w:p>
    <w:tbl>
      <w:tblPr>
        <w:tblStyle w:val="a9"/>
        <w:tblW w:w="21490" w:type="dxa"/>
        <w:tblInd w:w="-318" w:type="dxa"/>
        <w:tblLook w:val="04A0"/>
      </w:tblPr>
      <w:tblGrid>
        <w:gridCol w:w="10207"/>
        <w:gridCol w:w="8079"/>
        <w:gridCol w:w="3204"/>
      </w:tblGrid>
      <w:tr w:rsidR="00177C0E" w:rsidRPr="00E421E1" w:rsidTr="00177C0E">
        <w:tc>
          <w:tcPr>
            <w:tcW w:w="10207" w:type="dxa"/>
          </w:tcPr>
          <w:p w:rsidR="00177C0E" w:rsidRPr="00E421E1" w:rsidRDefault="00177C0E" w:rsidP="000C1107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Здание «Мешок-1»</w:t>
            </w:r>
          </w:p>
          <w:p w:rsidR="00177C0E" w:rsidRPr="00E421E1" w:rsidRDefault="00177C0E" w:rsidP="000C1107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8079" w:type="dxa"/>
          </w:tcPr>
          <w:p w:rsidR="00177C0E" w:rsidRPr="00E421E1" w:rsidRDefault="00177C0E" w:rsidP="000C1107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Здание «Мешок-2»</w:t>
            </w:r>
          </w:p>
          <w:p w:rsidR="00177C0E" w:rsidRPr="00E421E1" w:rsidRDefault="00177C0E" w:rsidP="000C1107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3204" w:type="dxa"/>
          </w:tcPr>
          <w:p w:rsidR="00177C0E" w:rsidRPr="00177C0E" w:rsidRDefault="00177C0E" w:rsidP="000C1107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Территория «Двора Постникова»</w:t>
            </w:r>
          </w:p>
        </w:tc>
      </w:tr>
      <w:tr w:rsidR="00177C0E" w:rsidRPr="00E421E1" w:rsidTr="00177C0E">
        <w:trPr>
          <w:trHeight w:val="7360"/>
        </w:trPr>
        <w:tc>
          <w:tcPr>
            <w:tcW w:w="10207" w:type="dxa"/>
          </w:tcPr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 демонтаж аварийных конструкций деревянных перекрытий 2-го этажа;  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проведение работ по демонтажу строительных конструкций и оборудования, выполненные на объекте в более поздние строительные периоды: входной тамбур главного входа; временные не капитальные перегородки; конструкции деревянного напольного покрытия, металлические печи и трубы системы отопления;  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разборка существующей стропильной и подстропильной конструкций и покрытия кровли;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работы по раскрытию первоначальных габаритов дверных и оконных проёмов с установкой воссозданных по аналогам столярных и кованых заполнений оконных и дверных проёмов, закладка поздних проёмов;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раскрытие и расчистка заложенных оконных и дверных проёмов, раскрытие исторических внутристенных ходов, ниш и помещений;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усиление наружных стен подвала железобетонной обоймой с креплением к существующей стене при помощи анкеров;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проведение комплексных первоочередных противоаварийных мероприятий по укреплению аварийных и проблемных участков несущих капитальных стен по осям А-Г/3-5;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горизонтальной отсечной гидроизоляции стен в уровне пола подвала методом инъецирования специализированных составов типа «Vandex DPC injection №2»;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- установка и замена существующих тяжей для усиления наружных стен;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обработка участков стен от биопоражений специализированным составом типа «Caparol Capatox»;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обработка ослабленных участков стены камнеукрепительным составом типа «Caparol Histolith Steinfestiger»;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усиление наружных стен с установкой анкеров;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ремонт участков стен с трещинами;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восстановление отслоившейся и утраченной каменной кладки из местного известкового камня с применением раствора на основе природной гидравлической извести и местного песка, с креплением к существующей кладке при помощи металлических анкеров;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восстановление карниза наружных стен;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восстановление участка каменного свода (перекрытия подвала) в осях </w:t>
            </w: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3-5/А-Б;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усиление каменных сводов;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усиление арочных каменных перемычек;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перемычки над проёмом по осям Г/3-2;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перекрытия второго этажа;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стропильной конструкции кровли с покрытием из керамической черепицы;</w:t>
            </w:r>
          </w:p>
          <w:p w:rsidR="00177C0E" w:rsidRPr="00EE34E0" w:rsidRDefault="00177C0E" w:rsidP="00EE34E0">
            <w:pPr>
              <w:tabs>
                <w:tab w:val="left" w:pos="0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восстановление каменных лестниц из местного известкового камня с применением раствора на основе природной гидравлической извести и местного песка;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новых деревянных лестниц;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возведение новых конструкций кровли с обязательной пропиткой всех конструкций, включая обрешётку, защитными составами и препаратами (антисептические и антипиреновые составы), устройство нового кровельного покрытия из керамической черепицы по всей площади кровли;                                                           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выполнение остекления световых проёмов здания с установкой стеклопакетов в дубовые рамы;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изготовление и установка в дверные проёмы дверных деревянных и кованых заполнений по рабочим чертежам;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прокладка инженерных коммуникаций и внутренних сетей, необходимых для функциональной и производственной деятельности по назначению здания, в том числе: систем электроотопления и вентиляции; электроосвещения и электрооборудования, сетей связи и сигнализации, видеонаблюдения и других для приспособления объекта к современному использованию;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проведение работ по укреплению и защите наружных поверхностей фундаментов здания с устройством вертикальной гидроизоляции и отмостки;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комплексные работы по щадящей очистке фасадов и интерьеров здания от загрязнений и поздних красочных слоёв;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проведение работ по укреплению, реставрации, восстановлению и воссозданию утраченных и разрушенных основных несущих конструкций каменных стен, проёмов и сводов перекрытий, выполнение работ по реставрации декоративных элементов резьбы по камню (полуколонны парадного крыльца, карниз, киот); 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         - обработка всей поверхности фасадов, и интерьеров, элементов декоративной отделки из природного камня защитными составами;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реставрационные работы с элементами воссоздания утраченных деталей и фрагментов конструкций каменных лестничных маршей и </w:t>
            </w: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площадок входной группы;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выполнение плотницких работ по воссозданию утраченных и реставрации поврежденных элементов деревянного напольного покрытия и конструкций перекрытия 2-го этажа из плах по балкам, перемычек и колод;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покрытие всех очищенных поверхностей каменной кладки интерьеров и фасадов составом, являющимся современным аналогом  известково-цемяночной обмазки;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покраска всех поверхностей плоскости стен по фасадам и интерьерам известковой побелкой;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- проведение всего комплекса работ по воссозданию по аналогам или установке отреставрированного музейного образца  изразцовых печей;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проведение строительных мероприятий по обустройству и оборудованию для дальнейшей эксплуатации подкровельного пространства здания;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реставрация и воссоздание каменных печных труб и каналов;</w:t>
            </w:r>
          </w:p>
          <w:p w:rsidR="00177C0E" w:rsidRPr="00EE34E0" w:rsidRDefault="00177C0E" w:rsidP="00EE34E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E34E0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выполнение комплекса мероприятий по воссозданию конструкций въездных ворот с калиткой и оградой по восточному фасаду.</w:t>
            </w:r>
          </w:p>
        </w:tc>
        <w:tc>
          <w:tcPr>
            <w:tcW w:w="8079" w:type="dxa"/>
          </w:tcPr>
          <w:p w:rsidR="00177C0E" w:rsidRPr="00177C0E" w:rsidRDefault="00177C0E" w:rsidP="00177C0E">
            <w:pPr>
              <w:ind w:left="-250" w:firstLine="250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- проведение комплексных первоочередных противоаварийных мероприятий по укреплению аварийных и проблемных участков несущих капитальных стен и перекрытий;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проведение работ по демонтажу строительных конструкций и оборудования, выполненные на объекте в более поздние строительные периоды: плоское бетонное перекрытие в помещении 12; временные не капитальные перегородки; конструкции деревянного напольного покрытия, металлические печи и трубы системы отопления;  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покрытия и обрешетки кровли;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стропильной конструкции, с сохранением существующих конструкций в осях 1-2/А-Г для последующего использования при устройстве новой стропильной системы в соответствии архитектурно-реставрационным решением;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капитальный ремонт (локальное восстановление) наружного слоя бутовой кладки в местах контакта с грунтом и выше (по всему периметру здания);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раскрытие и расчистка заложенных оконных и дверных проёмов, раскрытие исторических внутристенных ходов, ниш и помещений;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поздних печей;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перегородок с устройством новых в соответствии с архитектурно-планировочными решениями;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всех оконных и дверных заполнений, с последующей заменой на новые;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деревянных полов, с устройством новых в соответствии с архитектурно-планировочными решениями.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дополнительно устроенного железобетонного перекрытия в осях 1-2/А-Г;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проведение работ по укреплению фундаментов здания, устройство вертикальной гидроизоляции с 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последующим устройством отмостки по периметру здания;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комплексные работы по щадящей очистке фасадов и интерьеров здания от загрязнений и поздних красочных слоёв;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- расчистка и промывка поверхностей стен;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обработка кладки антисептиками и камнеукрепительными составами;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горизонтальной гидроизоляции путём инъецирования специализированных составов в кладку, предотвращающих капиллярное поднятие влаги по конструкции стены;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восстановление и ремонт всех каменных лестниц;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восстановление и ремонт каменных(кирпичных) вентшахт (дымовых каналов) в том числе на кровле в соответствии с архитектурно-планировочными решениями;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возведение новых конструкций кровли с обязательной пропиткой всех конструкций, включая обрешётку, защитными составами и препаратами (антисептические и антипиреновые составы), устройство нового кровельного покрытия из керамической черепицы по всей площади кровли;                                                           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проведение работ по укреплению, реставрации, восстановлению и воссозданию утраченных и разрушенных основных несущих конструкций каменных стен и сводов перекрытий;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работы по реставрации первоначальных габаритов дверных и оконных проёмов, с установкой воссозданных по аналогам столярных и кованых заполнений оконных и дверных проёмов, закладка поздних проёмов;           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обработка всей поверхности фасадов, и интерьеров, элементы декоративной отделки из природного камня защитными составами;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реставрационные работы с элементами воссоздания утраченных элементов и фрагментов конструкций каменных лестничных маршей и площадок входной группы;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выполнение плотницких работ по воссозданию утраченных и реставрации поврежденных элементов 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деревянного напольного покрытия и конструкций из плах по балкам, перемычек и колод;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все поверхности каменной кладки интерьеров и фасадов покрыть составом, являющимся современным аналогом - раствор известково-цемяночной обмазки;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проведение всего комплекса работ по воссозданию по аналогам или установке отреставрированного музейного образца  изразцовой печи;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прокладка инженерных коммуникаций и внутренних сетей, необходимых для функциональной и производственной деятельности назначения здания в рамках проектных решений по приспособлению объекта к современному использованию;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проведение строительных мероприятий по обустройству и оборудованию для дальнейшей эксплуатации подкровельного пространства здания;</w:t>
            </w:r>
          </w:p>
          <w:p w:rsidR="00177C0E" w:rsidRPr="00177C0E" w:rsidRDefault="00177C0E" w:rsidP="00177C0E">
            <w:pPr>
              <w:tabs>
                <w:tab w:val="left" w:pos="-2835"/>
                <w:tab w:val="left" w:pos="851"/>
              </w:tabs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выполнение комплекса работ по созданию замыкающей двор стены на месте утраченного здания с консервацией места газоном.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3204" w:type="dxa"/>
          </w:tcPr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- д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емонтаж существующего асфальтового покрытия подъездной дороги;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рганизация рельефа территории</w:t>
            </w: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(выемка грунта и выравнивание);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д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емонтаж существующего исторического мощения двора;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м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ощение брусчаткой и гранитными плитами зоны подъезда, стоянки и территории двора с установкой поребриков;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стройство заглублённых контейнеров для сбора мусора;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асширение зоны подъезда и разворота спецтранспорта докомпоновкой брусчатого покрытия дорожных одежд георешеткой с газоном;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стройство газона с посадкой кустов;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стройство 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lastRenderedPageBreak/>
              <w:t>подводящих инженерных коммуникаций;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стройство ограждения территории участка с декоративными столбами фонарного освещения;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стройство булыжной отмостки по периметру зданий со встраиванием светильников декоративной подсветки фасадов;</w:t>
            </w:r>
          </w:p>
          <w:p w:rsidR="00177C0E" w:rsidRPr="00177C0E" w:rsidRDefault="00177C0E" w:rsidP="00177C0E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</w:t>
            </w:r>
            <w:r w:rsidRPr="00177C0E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стройство системы сбора и отведения атмосферных осадков(колодцы, трапы, дренаж, дождеприёмники и пр.).</w:t>
            </w:r>
          </w:p>
        </w:tc>
      </w:tr>
    </w:tbl>
    <w:p w:rsidR="00E421E1" w:rsidRPr="00E421E1" w:rsidRDefault="00E421E1" w:rsidP="00E73A9C">
      <w:pPr>
        <w:tabs>
          <w:tab w:val="left" w:pos="6724"/>
        </w:tabs>
        <w:jc w:val="both"/>
        <w:rPr>
          <w:rFonts w:ascii="Liberation Serif" w:hAnsi="Liberation Serif" w:cs="Times New Roman"/>
          <w:color w:val="663300"/>
          <w:sz w:val="32"/>
          <w:szCs w:val="32"/>
        </w:rPr>
      </w:pPr>
    </w:p>
    <w:p w:rsidR="00E421E1" w:rsidRPr="00E421E1" w:rsidRDefault="00E421E1" w:rsidP="00E421E1">
      <w:pPr>
        <w:pStyle w:val="aa"/>
        <w:ind w:left="1080"/>
        <w:contextualSpacing w:val="0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  <w:r w:rsidRPr="00E421E1">
        <w:rPr>
          <w:rFonts w:ascii="Liberation Serif" w:hAnsi="Liberation Serif"/>
          <w:b/>
          <w:color w:val="663300"/>
          <w:sz w:val="32"/>
          <w:szCs w:val="32"/>
        </w:rPr>
        <w:lastRenderedPageBreak/>
        <w:t>Инженерные системы и оборудование.</w:t>
      </w:r>
    </w:p>
    <w:p w:rsidR="00177C0E" w:rsidRPr="00177C0E" w:rsidRDefault="00177C0E" w:rsidP="00177C0E">
      <w:pPr>
        <w:autoSpaceDE w:val="0"/>
        <w:autoSpaceDN w:val="0"/>
        <w:adjustRightInd w:val="0"/>
        <w:spacing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t>Электроснабжение</w:t>
      </w:r>
    </w:p>
    <w:p w:rsidR="00177C0E" w:rsidRPr="00177C0E" w:rsidRDefault="00177C0E" w:rsidP="00177C0E">
      <w:pPr>
        <w:autoSpaceDE w:val="0"/>
        <w:autoSpaceDN w:val="0"/>
        <w:adjustRightInd w:val="0"/>
        <w:spacing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t>Здание «Мешок-1».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Наружное электроснабжение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Максимальная мощность присоединяемых энергопринимающих устройств:  100,0 кВт.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Расчётная нагрузка: 95,11 кВт.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Класс напряжения электрических сетей   - 0,4кВ.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Основной источник питания объекта - ТП-30. 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Точка подключения - РУ-0,4кВ.  Система заземления TN-C-S.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Питание электроэнергией щита ВРУ-1 осуществляется по  кабельной линии от основного источника питания. Учёт электроэнергии предусматривается в ЩУ-1. Проект предусматривает прокладку питающей кабельной линии 0,4кВ от ТП-30 до  щита ВРУ-1, расположенного в помещении электрощитовой. С наружной стороны устанавливается кабельный разделитель в виде распределительного шкафа ШРН. Этажные щиты запитаны от ВРУ по отдельным кабельным линиям.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На вводе в здание выполняется основная система уравнивания потенциалов.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Возле здания выполняется контур повторного заземления и молниезащиты.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Наружное электроосвещение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ab/>
        <w:t>Проектом предусмотрено освещение периметра двора, а также  архитектурная подсветка фасада здания. Схема электроснабжения принята радиальная. Питание электроэнергией щита наружного освещения осуществляется по одной линии от щита ВРУ-1.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ab/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Проект предусматривает создание следующих систем наружного освещения объекта: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1. Фонарное освещение;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2. Архитектурная подсветка здания. 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Управление освещением ручное.   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Электроснабжение здания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Вертикальная разводка кабельных линий между этажами здания осуществляются скрыто в металлических трубах и закрытых металлических лотках. Горизонтальная разводка внутри здания осуществляется скрыто в металлических лотках и в металлической гофре в ПВХ изоляции.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Линии в пределах здания выполнены кабелями марки ВВГнг-LS с низким дымо- и газовыделением.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 xml:space="preserve">Резервирование электроэнергии осуществляется  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lastRenderedPageBreak/>
        <w:t>аккумуляторными   батареями   для   светильников   эвакуационного освещения и для охранных систем, повысительной станции внутреннего пожаротушения.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center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Здание «Мешок-2».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Наружное электроснабжение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Максимальная мощность присоединяемых энергопринимающих устройств:  50,0 кВт.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Расчётная нагрузка: 39,75 кВт.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Класс напряжения электрических сетей   - 0,4кВ.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Основной источник питания объекта - ТП-30. 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Точка подключения - РУ-0,4кВ.  Система заземления TN-C-S.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Питание электроэнергией щита ВРУ-2 осуществляется по  кабельной линии от основного источника питания. Учёт электроэнергии предусматривается в ЩУ-2. Проект предусматривает прокладку питающей кабельной линии 0,4кВ от ТП-30 до  щита ВРУ-1, расположенного в помещении электрощитовой. С наружной стороны устанавливается кабельный разделитель в виде распределительного шкафа ШРН. Этажные щиты запитаны от ВРУ по отдельным кабельным линиям.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На вводе в здание выполняется основная система уравнивания потенциалов.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Возле здания выполняется контур повторного заземления и молниезащиты.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Наружное электроосвещение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ab/>
        <w:t>Проектом предусмотрено освещение периметра двора, а также  архитектурная подсветка фасада здания. Схема электроснабжения принята радиальная. Питание электроэнергией щита наружного освещения осуществляется по одной линии от щита ВРУ-2.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ab/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Проект предусматривает создание следующих систем наружного освещения объекта: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>1. Фонарное освещение;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2. Архитектурная подсветка здания. 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Управление освещением ручное.    </w:t>
      </w:r>
    </w:p>
    <w:p w:rsidR="00177C0E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  <w:lang w:eastAsia="en-US"/>
        </w:rPr>
        <w:t>Электроснабжение здания</w:t>
      </w:r>
    </w:p>
    <w:p w:rsidR="00E421E1" w:rsidRPr="00177C0E" w:rsidRDefault="00177C0E" w:rsidP="00177C0E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</w:pP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Вертикальная разводка кабельных линий между этажами здания осуществляются скрыто в металлических трубах и закрытых металлических лотках. Горизонтальная разводка внутри здания осуществляется скрыто в металлических лотках и в металлической гофре в ПВХ изоляции.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Линии в пределах здания выполнены кабелями марки ВВГнг-LS с низким дымо- и газовыделением.</w:t>
      </w:r>
      <w:r w:rsidRPr="00177C0E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177C0E">
        <w:rPr>
          <w:rFonts w:ascii="Liberation Serif" w:hAnsi="Liberation Serif"/>
          <w:i/>
          <w:iCs/>
          <w:color w:val="663300"/>
          <w:sz w:val="32"/>
          <w:szCs w:val="32"/>
          <w:lang w:eastAsia="en-US"/>
        </w:rPr>
        <w:t>Резервирование электроэнергии осуществляется   аккумуляторными   батареями   для   светильников   эвакуационного освещения и для охранных систем.</w:t>
      </w:r>
      <w:r w:rsidR="00E421E1">
        <w:rPr>
          <w:rFonts w:ascii="Liberation Serif" w:hAnsi="Liberation Serif"/>
          <w:b/>
          <w:color w:val="663300"/>
          <w:sz w:val="32"/>
          <w:szCs w:val="32"/>
        </w:rPr>
        <w:br w:type="page"/>
      </w:r>
    </w:p>
    <w:p w:rsidR="00177C0E" w:rsidRPr="00177C0E" w:rsidRDefault="00177C0E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lastRenderedPageBreak/>
        <w:t>Системы водоснабжения и водоотведения</w:t>
      </w:r>
    </w:p>
    <w:p w:rsidR="00177C0E" w:rsidRPr="00177C0E" w:rsidRDefault="00177C0E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t>Здание «Мешок-1»</w:t>
      </w:r>
    </w:p>
    <w:p w:rsidR="00177C0E" w:rsidRPr="000D3B33" w:rsidRDefault="00177C0E" w:rsidP="00177C0E">
      <w:pPr>
        <w:tabs>
          <w:tab w:val="left" w:pos="360"/>
        </w:tabs>
        <w:spacing w:line="360" w:lineRule="auto"/>
        <w:ind w:left="1134" w:right="-1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Источником воды для здания музея является существующая сеть водоснабжения, проходящая по ул. Олега Кошевого, подача воды в здание осуществляется по одному водопроводному вводу.</w:t>
      </w:r>
    </w:p>
    <w:p w:rsidR="00177C0E" w:rsidRPr="000D3B33" w:rsidRDefault="00177C0E" w:rsidP="00177C0E">
      <w:pPr>
        <w:tabs>
          <w:tab w:val="left" w:pos="360"/>
        </w:tabs>
        <w:spacing w:line="360" w:lineRule="auto"/>
        <w:ind w:left="1134" w:right="-1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Система хозяйственно-питьевого водоснабжения принята тупиковая. Существуют разграничения горячего и холодного водоснабжения. Система холодного водоснабжения подает воду из наружной сети к потребителям в здание. Границей между наружной и внутренней сетью является наружная стена. Система холодного водоснабжения подает воду с температурой не менее 5 С°, и не более + 25 С°. </w:t>
      </w:r>
    </w:p>
    <w:p w:rsidR="00177C0E" w:rsidRPr="000D3B33" w:rsidRDefault="00177C0E" w:rsidP="00177C0E">
      <w:pPr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Хозяйственно-питьевая вода от внешнего источника водоснабжения поступает в помещение, где устраивается узел ввода, водомерный узел, и узел распределения воды на хозяйственно-питьевые и противопожарные нужды.</w:t>
      </w:r>
    </w:p>
    <w:p w:rsidR="00177C0E" w:rsidRPr="000D3B33" w:rsidRDefault="00177C0E" w:rsidP="00177C0E">
      <w:pPr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На узле ввода хозяйственно-питьевой воды на основной магистрали устанавливаются приборы, показывающие давление воды в трубопроводе.</w:t>
      </w:r>
    </w:p>
    <w:p w:rsidR="00177C0E" w:rsidRPr="000D3B33" w:rsidRDefault="00177C0E" w:rsidP="00177C0E">
      <w:pPr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Для защиты оборудования от засорений на вводе в здание предусмотрена установка механического фильтра. </w:t>
      </w:r>
    </w:p>
    <w:p w:rsidR="00177C0E" w:rsidRPr="000D3B33" w:rsidRDefault="00177C0E" w:rsidP="00177C0E">
      <w:pPr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Полив территории, прилегающей к зданию, осуществляется шлангами, подключаемыми к сантехническому оборудованию в комнате уборочного инвентаря (санузлах). </w:t>
      </w:r>
    </w:p>
    <w:p w:rsidR="00177C0E" w:rsidRPr="000D3B33" w:rsidRDefault="00177C0E" w:rsidP="00177C0E">
      <w:pPr>
        <w:spacing w:line="312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Сведения о расчетном (проектном) расходе воды на хозяйственно-питьевые нужды:</w:t>
      </w:r>
    </w:p>
    <w:p w:rsidR="00177C0E" w:rsidRPr="000D3B33" w:rsidRDefault="00177C0E" w:rsidP="00177C0E">
      <w:pPr>
        <w:pStyle w:val="ad"/>
        <w:ind w:left="1134" w:firstLine="0"/>
        <w:jc w:val="both"/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 xml:space="preserve">- Суточный расход воды </w:t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  <w:t xml:space="preserve">– </w:t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  <w:t>2,92 м3/сут</w:t>
      </w:r>
    </w:p>
    <w:p w:rsidR="00177C0E" w:rsidRPr="000D3B33" w:rsidRDefault="00177C0E" w:rsidP="00177C0E">
      <w:pPr>
        <w:pStyle w:val="ad"/>
        <w:ind w:left="1134" w:firstLine="0"/>
        <w:jc w:val="both"/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 xml:space="preserve">- Часовой расход воды </w:t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  <w:t xml:space="preserve">– </w:t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  <w:t>0,49 м3/час</w:t>
      </w:r>
    </w:p>
    <w:p w:rsidR="00177C0E" w:rsidRPr="000D3B33" w:rsidRDefault="00177C0E" w:rsidP="00177C0E">
      <w:pPr>
        <w:pStyle w:val="ad"/>
        <w:ind w:left="1134" w:firstLine="0"/>
        <w:jc w:val="both"/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 xml:space="preserve">- Секундный расход </w:t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  <w:t xml:space="preserve">– </w:t>
      </w:r>
      <w:r w:rsidRPr="000D3B33">
        <w:rPr>
          <w:rFonts w:ascii="Liberation Serif" w:hAnsi="Liberation Serif"/>
          <w:b w:val="0"/>
          <w:iCs/>
          <w:color w:val="663300"/>
          <w:sz w:val="32"/>
          <w:szCs w:val="32"/>
          <w:lang w:eastAsia="en-US"/>
        </w:rPr>
        <w:tab/>
        <w:t>0,34 л/сек</w:t>
      </w:r>
    </w:p>
    <w:p w:rsidR="00177C0E" w:rsidRPr="000D3B33" w:rsidRDefault="00177C0E" w:rsidP="00177C0E">
      <w:pPr>
        <w:suppressAutoHyphens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Водоотведение:                                               </w:t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  <w:t xml:space="preserve"> - 2,92 м³/сут</w:t>
      </w:r>
    </w:p>
    <w:p w:rsidR="00177C0E" w:rsidRPr="000D3B33" w:rsidRDefault="00177C0E" w:rsidP="00177C0E">
      <w:pPr>
        <w:suppressAutoHyphens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                                                      </w:t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  <w:t xml:space="preserve"> </w:t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  <w:t>- 0,49 м³/час</w:t>
      </w:r>
    </w:p>
    <w:p w:rsidR="00177C0E" w:rsidRPr="000D3B33" w:rsidRDefault="00177C0E" w:rsidP="00177C0E">
      <w:pPr>
        <w:suppressAutoHyphens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Гарантированный напор в наружной сети водопровода</w:t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  <w:t>- 20м.в.с.</w:t>
      </w:r>
    </w:p>
    <w:p w:rsidR="00177C0E" w:rsidRPr="000D3B33" w:rsidRDefault="00177C0E" w:rsidP="00177C0E">
      <w:pPr>
        <w:suppressAutoHyphens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Потребный напор                                              </w:t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ab/>
        <w:t>- 22,4м.в.с.</w:t>
      </w:r>
    </w:p>
    <w:p w:rsidR="00177C0E" w:rsidRPr="000D3B33" w:rsidRDefault="00177C0E" w:rsidP="00177C0E">
      <w:pPr>
        <w:suppressAutoHyphens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Расчетный расход на наружное пожаротушение:         - 20л/с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В здании предусматривается устройство следующих систем: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lastRenderedPageBreak/>
        <w:t>- система хозяйственно-питьевого водопровода, объединенного с противопожарным водопроводом;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- система горячего водоснабжения;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- система хозяйственно-бытовой канализации.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Пожаротушение здания осуществляется пожарными кранами  диаметром 50 мм со спрыском наконечника пожарного ствола диаметром 16 мм и пожарным рукавом длиной 20м.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Горячее водоснабжение здания музея запроектировано от накопительных электрических водонагревателей, устанавливаемых рядом с водоразборной арматурой.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Отвод сточных вод от санитарных приборов осуществляется во внутриквартальную  сеть хозяйственно-бытовой канализации по ул.о.Кошевого.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Монтаж бытовой канализации: сети цокольного этажа, стояки и отводные трубопроводы от приборов из полиэтиленовых труб и фасонных частей по ГОСТ 22689-89 (Ø50 - Ø110мм), выпуски из чугунных труб и фасонных частей по ГОСТ 6942-98  Ø100мм.</w:t>
      </w:r>
    </w:p>
    <w:p w:rsidR="00177C0E" w:rsidRPr="000D3B33" w:rsidRDefault="00177C0E" w:rsidP="00177C0E">
      <w:pPr>
        <w:autoSpaceDE w:val="0"/>
        <w:autoSpaceDN w:val="0"/>
        <w:adjustRightInd w:val="0"/>
        <w:spacing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Водосток с кровли здания неорганизованный на отмостку и далее по рельефу к лоткам, транспортирующим сток к водосборным колодцам. Отвод атмосферных осадков и ливневых вод осуществляется в ливневую канализацию через приёмный колодец.</w:t>
      </w:r>
    </w:p>
    <w:p w:rsidR="00177C0E" w:rsidRPr="00177C0E" w:rsidRDefault="00177C0E" w:rsidP="00177C0E">
      <w:pPr>
        <w:autoSpaceDE w:val="0"/>
        <w:autoSpaceDN w:val="0"/>
        <w:adjustRightInd w:val="0"/>
        <w:ind w:left="1134"/>
        <w:rPr>
          <w:rFonts w:ascii="Liberation Serif" w:eastAsia="Times New Roman" w:hAnsi="Liberation Serif" w:cs="Times New Roman"/>
          <w:i/>
          <w:iCs/>
          <w:color w:val="663300"/>
          <w:sz w:val="32"/>
          <w:szCs w:val="32"/>
          <w:lang w:eastAsia="en-US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D24E73" w:rsidRDefault="00D24E73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177C0E" w:rsidRPr="00177C0E" w:rsidRDefault="00177C0E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lastRenderedPageBreak/>
        <w:t>Здание «Мешок-2» 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Источником воды для здания музея является существующая сеть водоснабжения, проходящая по ул. Олега Кошевого, подача воды в здание осуществляется по одному водопроводному вводу.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Система хозяйственно-питьевого водоснабжения принята тупиковая. Существуют разграничения горячего и холодного водоснабжения. Система холодного водоснабжения подает воду из наружной сети к потребителям в здание. Границей между наружной и внутренней сетью является наружная стена. Система холодного водоснабжения подает воду с температурой не менее 5 С°, и не более + 25 С°. 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Хозяйственно-питьевая вода от внешнего источника водоснабжения поступает в помещение, где устраивается узел ввода, водомерный узел, и узел распределения воды на хозяйственно-питьевые и противопожарные нужды.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На узле ввода хозяйственно-питьевой воды на основной магистрали устанавливаются приборы, показывающие давление воды в трубопроводе.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Для защиты оборудования от засорений на вводе в здание предусмотрена установка механического фильтра. 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Полив территории, прилегающей к зданию, осуществляется шлангами, подключаемыми к сантехническому оборудованию в комнате уборочного инвентаря (санузлах). 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Сведения о расчетном (проектном) расходе воды на хозяйственно-питьевые нужды: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- Суточный расход воды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>– 1,72 м3/сут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- Часовой расход воды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>– 0,40 м3/час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- Секундный расход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>– 0,32 л/сек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Водоотведение:                                              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 xml:space="preserve"> -1,72 м³/сут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                                                     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 xml:space="preserve">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>- 0,40 м³/час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Гарантированный напор в наружной сети водопровода  - 20м.в.с.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 xml:space="preserve">Потребный напор                                              </w:t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</w: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ab/>
        <w:t>- 16,1м.в.с.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Расчетный расход на наружное пожаротушение:             - 20л/с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В здании предусматривается устройство следующих систем: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- система хозяйственно-питьевого водопровода, объединенного с противопожарным водопроводом;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- система горячего водоснабжения;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- система хозяйственно-бытовой канализации.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Пожаротушение здания осуществляется пожарными кранами  диаметром 50 мм со спрыском наконечника пожарного ствола диаметром 16 мм и пожарным рукавом длиной 20м.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lastRenderedPageBreak/>
        <w:t>Горячее водоснабжение здания музея запроектировано от накопительных электрических водонагревателей, устанавливаемых рядом с водоразборной арматурой.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Отвод сточных вод от санитарных приборов осуществляется во внутриквартальную  сеть хозяйственно-бытовой канализации по ул.о.Кошевого.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Монтаж бытовой канализации: сети цокольного этажа, стояки и отводные трубопроводы от приборов из полиэтиленовых труб и фасонных частей по ГОСТ 22689-89 (Ø50 - Ø110мм), выпуски из чугунных труб и фасонных частей по ГОСТ 6942-98  Ø100мм.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Водосток с кровли здания неорганизованный на отмостку и далее по рельефу к лоткам, транспортирующим сток к водосборным колодцам. Отвод атмосферных осадков и ливневых вод осуществляется в ливневую канализацию через приёмный колодец.</w:t>
      </w:r>
    </w:p>
    <w:p w:rsidR="000D3B33" w:rsidRPr="00177C0E" w:rsidRDefault="000D3B33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/>
          <w:iCs/>
          <w:color w:val="663300"/>
          <w:kern w:val="0"/>
          <w:sz w:val="32"/>
          <w:szCs w:val="32"/>
          <w:lang w:eastAsia="en-US"/>
        </w:rPr>
      </w:pPr>
    </w:p>
    <w:p w:rsidR="00177C0E" w:rsidRPr="00177C0E" w:rsidRDefault="00177C0E" w:rsidP="00177C0E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t>Тепловые сети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Проектом в зданиях предусматривается электроотопление системой темперирования и инфракрасными низкотемпературными обогревателями  ECOSUN U+ «Fenix» (производство «Чехия»).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В качестве приборов отопления применены плинтусные системы для темперирования наружных стен - теплый плинтус «Mr.Tektum» (производство «Россия») и инфракрасные низкотемпературные обогреватели  ECOSUN U+ «Fenix» (производство «Чехия»). В помещении водомерного узла на 1 этаже и в инженерно-техническом помещении на мансардном этаже устанавливаются электроконвекторы «КРОМ» (производство «Россия»). Система управления отоплением предусмотрена автоматическая, отдельно для каждого помещения.</w:t>
      </w:r>
    </w:p>
    <w:p w:rsidR="00177C0E" w:rsidRPr="000D3B33" w:rsidRDefault="00177C0E" w:rsidP="00177C0E">
      <w:pPr>
        <w:pStyle w:val="Standard"/>
        <w:spacing w:line="360" w:lineRule="auto"/>
        <w:ind w:left="1134" w:right="-5"/>
        <w:jc w:val="both"/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/>
          <w:iCs/>
          <w:color w:val="663300"/>
          <w:kern w:val="0"/>
          <w:sz w:val="32"/>
          <w:szCs w:val="32"/>
          <w:lang w:eastAsia="en-US"/>
        </w:rPr>
        <w:t>Для управления приборами отопления в служебных помещениях, водомерном узле, в помещении охраны, в входных группах предусмотрена установка одноканальных терморегуляторов «РТ-002» (производство «Россия»). Для контроля температуры в данных помещениях предусмотрена установка выносных датчиков температуры.</w:t>
      </w:r>
    </w:p>
    <w:p w:rsidR="00177C0E" w:rsidRPr="00177C0E" w:rsidRDefault="00177C0E" w:rsidP="000D3B33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t>Вентиляция и кондиционирование воздуха</w:t>
      </w:r>
    </w:p>
    <w:p w:rsidR="00177C0E" w:rsidRPr="000D3B33" w:rsidRDefault="00177C0E" w:rsidP="000D3B33">
      <w:pPr>
        <w:autoSpaceDE w:val="0"/>
        <w:autoSpaceDN w:val="0"/>
        <w:adjustRightInd w:val="0"/>
        <w:spacing w:before="60"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 xml:space="preserve">Система вентиляции в зданиях «Мешок-1» и «Мешок-2» предусмотрена приточно-вытяжная с естественным и механическим побуждением. </w:t>
      </w:r>
    </w:p>
    <w:p w:rsidR="00177C0E" w:rsidRPr="000D3B33" w:rsidRDefault="00177C0E" w:rsidP="000D3B33">
      <w:pPr>
        <w:autoSpaceDE w:val="0"/>
        <w:autoSpaceDN w:val="0"/>
        <w:adjustRightInd w:val="0"/>
        <w:spacing w:before="60"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Приток воздуха на этажах обеспечивается через оконные приточные клапаны марки "Air-Box Comfort" компании ""Air-Box" (Россия) и неплотности в оконных и дверных проемах.</w:t>
      </w:r>
    </w:p>
    <w:p w:rsidR="00177C0E" w:rsidRPr="000D3B33" w:rsidRDefault="00177C0E" w:rsidP="000D3B33">
      <w:pPr>
        <w:autoSpaceDE w:val="0"/>
        <w:autoSpaceDN w:val="0"/>
        <w:adjustRightInd w:val="0"/>
        <w:spacing w:before="60"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Вытяжка из помещений осуществляется вентиляторами марки "ВРАН" компании "Веза" с возможностью частотного регулирования числа оборотов вала двигателя (Россия, Санкт-Петербург) через вытяжные регулируемые вентиляционные решетки марки "АМР" компании "Арктика" (Россия, Санкт-Петербург) по воздуховодам с выпуском выше кровли на 500мм.</w:t>
      </w:r>
    </w:p>
    <w:p w:rsidR="00177C0E" w:rsidRPr="000D3B33" w:rsidRDefault="00177C0E" w:rsidP="000D3B33">
      <w:pPr>
        <w:autoSpaceDE w:val="0"/>
        <w:autoSpaceDN w:val="0"/>
        <w:adjustRightInd w:val="0"/>
        <w:spacing w:before="60"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lastRenderedPageBreak/>
        <w:t>Воздух из санузлов удаляется механически с применением оконных вентиляторов марки "Ventil" компании "Арктика" (Россия, Санкт-Петербург). Для циркуляции воздуха через помещения предусматриваются переточные решетки марки "АП" компании "Арктика" (Россия, Санкт-Петербург).</w:t>
      </w:r>
    </w:p>
    <w:p w:rsidR="00177C0E" w:rsidRPr="000D3B33" w:rsidRDefault="00177C0E" w:rsidP="000D3B33">
      <w:pPr>
        <w:autoSpaceDE w:val="0"/>
        <w:autoSpaceDN w:val="0"/>
        <w:adjustRightInd w:val="0"/>
        <w:spacing w:before="60"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Проектом предусмотрено удаление теплоизбытков из помещения электрощитовой значением 5,0 кВт с применением кондиционера для коммерческого применения (сплит-система) марки "FAQ71B/RRQ71BV/W" компании "Daikin" (Япония).</w:t>
      </w:r>
    </w:p>
    <w:p w:rsidR="000D3B33" w:rsidRPr="000D3B33" w:rsidRDefault="000D3B33" w:rsidP="000D3B33">
      <w:pPr>
        <w:autoSpaceDE w:val="0"/>
        <w:autoSpaceDN w:val="0"/>
        <w:adjustRightInd w:val="0"/>
        <w:spacing w:before="60" w:line="360" w:lineRule="auto"/>
        <w:ind w:left="1134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</w:p>
    <w:p w:rsidR="00177C0E" w:rsidRPr="00177C0E" w:rsidRDefault="00177C0E" w:rsidP="000D3B33">
      <w:pPr>
        <w:autoSpaceDE w:val="0"/>
        <w:autoSpaceDN w:val="0"/>
        <w:adjustRightInd w:val="0"/>
        <w:spacing w:before="120" w:line="360" w:lineRule="auto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177C0E">
        <w:rPr>
          <w:rFonts w:ascii="Liberation Serif" w:hAnsi="Liberation Serif"/>
          <w:b/>
          <w:color w:val="663300"/>
          <w:sz w:val="32"/>
          <w:szCs w:val="32"/>
        </w:rPr>
        <w:t>Сети связи и Система охранного телевидения (видеонаблюдения)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Система охранного телевидения обеспечивает: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- создание дополнительного звена в комплексной системе безопасности объекта;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- обеспечение возможности своевременного реагирования на любые возможные преступные действия в отношении людей и имущества, упрощение сбора доказательной базы для следственных мероприятий в случае обнаружения подобных действий по прошествии времени;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- обеспечение возможности проведения «виртуальной экскурсии» для МГН.</w:t>
      </w:r>
    </w:p>
    <w:p w:rsidR="00177C0E" w:rsidRPr="000D3B33" w:rsidRDefault="00177C0E" w:rsidP="000D3B33">
      <w:pPr>
        <w:pStyle w:val="af"/>
        <w:spacing w:after="0"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>Средой передачи данных служит структурированная кабельная сеть с использованием неэкранированной витой пары 6 категории и оборудования стандарта 1000Base-T. Топология сети звездообразная.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Всё сетевое оборудование, установленное на объектах, находится во взаимосвязи с сервером, находящимся в здании «Мешок-1», который формирует общую информационную сеть и связь по оптическому волокну с сетями провайдера.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Беспроводная сеть передачи данных реализована на базе потолочных всенаправленных точек доступа EAP120 со скоростью передачи данных до 300 Мбит/с, охватывающих каждый этаж зданий и прилегающую территорию.</w:t>
      </w:r>
    </w:p>
    <w:p w:rsidR="00177C0E" w:rsidRPr="000D3B33" w:rsidRDefault="00177C0E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>Удалённое рабочее место оператора СОТ устанавливается в помещении №12 здания Мешок-1 (Служба безопасности и охрана). УРМ организуется на базе терминала ITV 7857-ITV-FS-150-ATX-4M-S с возможностью одновременного отображения до 64 видеокамер при приёме потока видео в формате: 640х480, H264, 15fps.</w:t>
      </w:r>
    </w:p>
    <w:p w:rsidR="00177C0E" w:rsidRPr="000D3B33" w:rsidRDefault="00177C0E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>Места просмотра «виртуальной экскурсии» организуются в специализированных помещениях: №18 здания «Мешок-1» и №6 здания «Мешок-2» на базе IP-видеорегистраторов Beward BRVS2 с использованием интегрированного ПО Beward с выводом изображения на 40-дюймовые ЖК-</w:t>
      </w: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lastRenderedPageBreak/>
        <w:t>дисплеи UE40J6390AU и возможностью дистанционного управления объективами поворотных видеокамер при помощи джойстика Logitech Extreme 3D Pro.</w:t>
      </w:r>
    </w:p>
    <w:p w:rsidR="00177C0E" w:rsidRPr="000D3B33" w:rsidRDefault="00177C0E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 xml:space="preserve">СОТ выполнена на базе камер Beward BD3570DRV (для внутренней установки) и BD3570RV (для наружной установки), подключенных к единой сети с привязкой к ПО Axxon Next на сервере в ШТ-1. Для «виртуальной экскурсии» в каждом помещении с экспозицией установлены видеокамеры Beward BD137P. </w:t>
      </w:r>
    </w:p>
    <w:p w:rsidR="00177C0E" w:rsidRPr="000D3B33" w:rsidRDefault="00177C0E" w:rsidP="000D3B33">
      <w:pPr>
        <w:widowControl w:val="0"/>
        <w:autoSpaceDE w:val="0"/>
        <w:autoSpaceDN w:val="0"/>
        <w:adjustRightInd w:val="0"/>
        <w:spacing w:line="360" w:lineRule="auto"/>
        <w:ind w:left="1134"/>
        <w:jc w:val="both"/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</w:pPr>
      <w:r w:rsidRPr="000D3B33">
        <w:rPr>
          <w:rFonts w:ascii="Liberation Serif" w:eastAsia="Times New Roman" w:hAnsi="Liberation Serif" w:cs="Times New Roman"/>
          <w:iCs/>
          <w:color w:val="663300"/>
          <w:sz w:val="32"/>
          <w:szCs w:val="32"/>
          <w:lang w:eastAsia="en-US"/>
        </w:rPr>
        <w:t>Видеокамеры имеют два режима работы (день/ночь) и автоматическую регулировку диафрагмы. При возникновении недостаточной освещённости на наблюдаемом объекте, видеокамера переходит в ч/б режим съёмки, что значительно повышает светочувствительность. Видеокамеры снабжены вариофокальными объективами.</w:t>
      </w:r>
    </w:p>
    <w:p w:rsidR="00177C0E" w:rsidRPr="000D3B33" w:rsidRDefault="00177C0E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>Передача изображения с видеокамер и запись его видеосервером осуществляется в формате H.264. Разрешение видео 1920х1080 (Full HD) c частотой 25 кадров/сек для BD3570RV и  BD3570DRV и 1920х1080 (Full HD) при 60 кадрах/сек для BD137P.</w:t>
      </w:r>
    </w:p>
    <w:p w:rsidR="00177C0E" w:rsidRPr="000D3B33" w:rsidRDefault="00177C0E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>Запись звука осуществляется при помощи выносных микрофонов. Микрофон располагается вблизи камеры с направлением в ту сторону, откуда необходимо осуществление записи звука, и подключается к камере при помощи кабеля.</w:t>
      </w:r>
    </w:p>
    <w:p w:rsidR="00177C0E" w:rsidRPr="000D3B33" w:rsidRDefault="00177C0E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>В качестве стандарта передачи телефонного сигнала выбран стандарт SIP по причине современности, универсальности применяемых технологий, возможности использования сетей СКС в качестве среды передачи. Точки подключения к узлу телефонной связи оборудуются VoIP- телефонными аппаратами DPH-150SE/F4B с поддержкой PoE, с портами RJ-45 LAN и RJ-45 WAN.</w:t>
      </w:r>
    </w:p>
    <w:p w:rsidR="000D3B33" w:rsidRDefault="000D3B33" w:rsidP="000D3B33">
      <w:pPr>
        <w:pStyle w:val="FR1"/>
        <w:overflowPunct/>
        <w:autoSpaceDE/>
        <w:adjustRightInd/>
        <w:spacing w:before="0" w:line="360" w:lineRule="auto"/>
        <w:ind w:left="1080"/>
        <w:textAlignment w:val="auto"/>
        <w:rPr>
          <w:rFonts w:ascii="Liberation Serif" w:eastAsiaTheme="minorEastAsia" w:hAnsi="Liberation Serif" w:cstheme="minorBidi"/>
          <w:color w:val="663300"/>
          <w:sz w:val="32"/>
          <w:szCs w:val="32"/>
        </w:rPr>
      </w:pPr>
    </w:p>
    <w:p w:rsidR="000D3B33" w:rsidRPr="000D3B33" w:rsidRDefault="000D3B33" w:rsidP="000D3B33">
      <w:pPr>
        <w:pStyle w:val="FR1"/>
        <w:overflowPunct/>
        <w:autoSpaceDE/>
        <w:adjustRightInd/>
        <w:spacing w:before="0" w:line="360" w:lineRule="auto"/>
        <w:ind w:left="1080"/>
        <w:textAlignment w:val="auto"/>
        <w:rPr>
          <w:rFonts w:ascii="Liberation Serif" w:eastAsiaTheme="minorEastAsia" w:hAnsi="Liberation Serif" w:cstheme="minorBidi"/>
          <w:color w:val="663300"/>
          <w:sz w:val="32"/>
          <w:szCs w:val="32"/>
        </w:rPr>
      </w:pPr>
      <w:r w:rsidRPr="000D3B33">
        <w:rPr>
          <w:rFonts w:ascii="Liberation Serif" w:eastAsiaTheme="minorEastAsia" w:hAnsi="Liberation Serif" w:cstheme="minorBidi"/>
          <w:color w:val="663300"/>
          <w:sz w:val="32"/>
          <w:szCs w:val="32"/>
        </w:rPr>
        <w:t>Мероприятия по охране окружающей среды</w:t>
      </w:r>
    </w:p>
    <w:p w:rsidR="000D3B33" w:rsidRPr="000D3B33" w:rsidRDefault="000D3B33" w:rsidP="000D3B33">
      <w:pPr>
        <w:pStyle w:val="af"/>
        <w:spacing w:line="360" w:lineRule="auto"/>
        <w:ind w:left="1134"/>
        <w:rPr>
          <w:rFonts w:ascii="Liberation Serif" w:hAnsi="Liberation Serif"/>
          <w:iCs/>
          <w:color w:val="663300"/>
          <w:sz w:val="32"/>
          <w:szCs w:val="32"/>
          <w:lang w:val="ru-RU"/>
        </w:rPr>
      </w:pPr>
      <w:r w:rsidRPr="000D3B33">
        <w:rPr>
          <w:rFonts w:ascii="Liberation Serif" w:hAnsi="Liberation Serif"/>
          <w:iCs/>
          <w:color w:val="663300"/>
          <w:sz w:val="32"/>
          <w:szCs w:val="32"/>
          <w:lang w:val="ru-RU"/>
        </w:rPr>
        <w:t xml:space="preserve">При проведении работ на Объекте должно быть обеспечено выполнение требований по охране окружающей среды в соответствии с законодательством РФ и процедурами Всемирного Банка. В соответствии с кадастровой выпиской земельный участок имеет обременение в части водоохранного режима использования.  </w:t>
      </w:r>
    </w:p>
    <w:p w:rsidR="002836FF" w:rsidRPr="00E421E1" w:rsidRDefault="002836FF" w:rsidP="000D3B33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</w:rPr>
      </w:pPr>
    </w:p>
    <w:sectPr w:rsidR="002836FF" w:rsidRPr="00E421E1" w:rsidSect="00E421E1">
      <w:headerReference w:type="even" r:id="rId44"/>
      <w:headerReference w:type="default" r:id="rId45"/>
      <w:headerReference w:type="first" r:id="rId46"/>
      <w:pgSz w:w="23814" w:h="16839" w:orient="landscape" w:code="8"/>
      <w:pgMar w:top="1135" w:right="1701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0E43" w:rsidRDefault="005D0E43" w:rsidP="008C527D">
      <w:pPr>
        <w:spacing w:after="0" w:line="240" w:lineRule="auto"/>
      </w:pPr>
      <w:r>
        <w:separator/>
      </w:r>
    </w:p>
  </w:endnote>
  <w:endnote w:type="continuationSeparator" w:id="0">
    <w:p w:rsidR="005D0E43" w:rsidRDefault="005D0E43" w:rsidP="008C52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0E43" w:rsidRDefault="005D0E43" w:rsidP="008C527D">
      <w:pPr>
        <w:spacing w:after="0" w:line="240" w:lineRule="auto"/>
      </w:pPr>
      <w:r>
        <w:separator/>
      </w:r>
    </w:p>
  </w:footnote>
  <w:footnote w:type="continuationSeparator" w:id="0">
    <w:p w:rsidR="005D0E43" w:rsidRDefault="005D0E43" w:rsidP="008C52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E22" w:rsidRDefault="004200F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69047" o:spid="_x0000_s2053" type="#_x0000_t75" style="position:absolute;margin-left:0;margin-top:0;width:1191.4pt;height:1683.8pt;z-index:-251657216;mso-position-horizontal:center;mso-position-horizontal-relative:margin;mso-position-vertical:center;mso-position-vertical-relative:margin" o:allowincell="f">
          <v:imagedata r:id="rId1" o:title="2_обложка Б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E22" w:rsidRDefault="004200F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69048" o:spid="_x0000_s2054" type="#_x0000_t75" style="position:absolute;margin-left:0;margin-top:0;width:1191.4pt;height:1683.8pt;z-index:-251656192;mso-position-horizontal:center;mso-position-horizontal-relative:margin;mso-position-vertical:center;mso-position-vertical-relative:margin" o:allowincell="f">
          <v:imagedata r:id="rId1" o:title="2_обложка Б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0E22" w:rsidRDefault="004200F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69046" o:spid="_x0000_s2052" type="#_x0000_t75" style="position:absolute;margin-left:0;margin-top:0;width:1191.4pt;height:1683.8pt;z-index:-251658240;mso-position-horizontal:center;mso-position-horizontal-relative:margin;mso-position-vertical:center;mso-position-vertical-relative:margin" o:allowincell="f">
          <v:imagedata r:id="rId1" o:title="2_обложка Б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A4295"/>
    <w:multiLevelType w:val="hybridMultilevel"/>
    <w:tmpl w:val="06CAC426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1">
    <w:nsid w:val="337003CB"/>
    <w:multiLevelType w:val="hybridMultilevel"/>
    <w:tmpl w:val="29C4C7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3FE50C3"/>
    <w:multiLevelType w:val="multilevel"/>
    <w:tmpl w:val="8208E2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436E2136"/>
    <w:multiLevelType w:val="hybridMultilevel"/>
    <w:tmpl w:val="EDD00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BC1C47"/>
    <w:multiLevelType w:val="hybridMultilevel"/>
    <w:tmpl w:val="7D50C706"/>
    <w:lvl w:ilvl="0" w:tplc="0419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297E18"/>
    <w:rsid w:val="00001406"/>
    <w:rsid w:val="000453AA"/>
    <w:rsid w:val="00085EB1"/>
    <w:rsid w:val="000A10AE"/>
    <w:rsid w:val="000C1107"/>
    <w:rsid w:val="000D3B33"/>
    <w:rsid w:val="00122C67"/>
    <w:rsid w:val="00174AFA"/>
    <w:rsid w:val="00177C0E"/>
    <w:rsid w:val="00194552"/>
    <w:rsid w:val="00197278"/>
    <w:rsid w:val="001E5604"/>
    <w:rsid w:val="002073DC"/>
    <w:rsid w:val="00224823"/>
    <w:rsid w:val="002836FF"/>
    <w:rsid w:val="00295F03"/>
    <w:rsid w:val="00297E18"/>
    <w:rsid w:val="00320DF4"/>
    <w:rsid w:val="003577EC"/>
    <w:rsid w:val="00370B22"/>
    <w:rsid w:val="003B0E6B"/>
    <w:rsid w:val="003F20C8"/>
    <w:rsid w:val="00410C3F"/>
    <w:rsid w:val="004200FF"/>
    <w:rsid w:val="004A741E"/>
    <w:rsid w:val="004D7011"/>
    <w:rsid w:val="004E5A4B"/>
    <w:rsid w:val="00550E63"/>
    <w:rsid w:val="00563A42"/>
    <w:rsid w:val="00575C63"/>
    <w:rsid w:val="005A24C8"/>
    <w:rsid w:val="005A5BEA"/>
    <w:rsid w:val="005D0E43"/>
    <w:rsid w:val="005E5CBC"/>
    <w:rsid w:val="005E6B81"/>
    <w:rsid w:val="005F7950"/>
    <w:rsid w:val="0061641F"/>
    <w:rsid w:val="006818D8"/>
    <w:rsid w:val="006B5197"/>
    <w:rsid w:val="006F1FC1"/>
    <w:rsid w:val="006F2765"/>
    <w:rsid w:val="007033C9"/>
    <w:rsid w:val="00710E22"/>
    <w:rsid w:val="00712C44"/>
    <w:rsid w:val="007265C8"/>
    <w:rsid w:val="00730DE4"/>
    <w:rsid w:val="0074282C"/>
    <w:rsid w:val="007429FE"/>
    <w:rsid w:val="007637C0"/>
    <w:rsid w:val="00780B87"/>
    <w:rsid w:val="00784EE1"/>
    <w:rsid w:val="00795178"/>
    <w:rsid w:val="007B5C3D"/>
    <w:rsid w:val="007F340F"/>
    <w:rsid w:val="008427C9"/>
    <w:rsid w:val="00844358"/>
    <w:rsid w:val="008C527D"/>
    <w:rsid w:val="008D2E2F"/>
    <w:rsid w:val="008F27E8"/>
    <w:rsid w:val="009568D3"/>
    <w:rsid w:val="009905C1"/>
    <w:rsid w:val="009B5979"/>
    <w:rsid w:val="00A17E86"/>
    <w:rsid w:val="00A95985"/>
    <w:rsid w:val="00B50802"/>
    <w:rsid w:val="00B77D8A"/>
    <w:rsid w:val="00BB7B50"/>
    <w:rsid w:val="00BB7C6F"/>
    <w:rsid w:val="00BD1A98"/>
    <w:rsid w:val="00BE2E1E"/>
    <w:rsid w:val="00BF2EA5"/>
    <w:rsid w:val="00C27949"/>
    <w:rsid w:val="00C47AD1"/>
    <w:rsid w:val="00C741E9"/>
    <w:rsid w:val="00C90F71"/>
    <w:rsid w:val="00D1451F"/>
    <w:rsid w:val="00D24E73"/>
    <w:rsid w:val="00D56AFB"/>
    <w:rsid w:val="00E00A2F"/>
    <w:rsid w:val="00E2393C"/>
    <w:rsid w:val="00E36845"/>
    <w:rsid w:val="00E421E1"/>
    <w:rsid w:val="00E52028"/>
    <w:rsid w:val="00E6729E"/>
    <w:rsid w:val="00E73A9C"/>
    <w:rsid w:val="00EA0C66"/>
    <w:rsid w:val="00EA3636"/>
    <w:rsid w:val="00EE34E0"/>
    <w:rsid w:val="00F00A00"/>
    <w:rsid w:val="00F06819"/>
    <w:rsid w:val="00F159AE"/>
    <w:rsid w:val="00F44416"/>
    <w:rsid w:val="00F56BC0"/>
    <w:rsid w:val="00F61DBD"/>
    <w:rsid w:val="00FC2E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B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C52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C527D"/>
  </w:style>
  <w:style w:type="paragraph" w:styleId="a5">
    <w:name w:val="footer"/>
    <w:basedOn w:val="a"/>
    <w:link w:val="a6"/>
    <w:uiPriority w:val="99"/>
    <w:semiHidden/>
    <w:unhideWhenUsed/>
    <w:rsid w:val="008C52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C527D"/>
  </w:style>
  <w:style w:type="paragraph" w:styleId="a7">
    <w:name w:val="Balloon Text"/>
    <w:basedOn w:val="a"/>
    <w:link w:val="a8"/>
    <w:semiHidden/>
    <w:unhideWhenUsed/>
    <w:rsid w:val="008C5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527D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8D2E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712C44"/>
    <w:pPr>
      <w:ind w:left="720"/>
      <w:contextualSpacing/>
    </w:pPr>
  </w:style>
  <w:style w:type="paragraph" w:styleId="ab">
    <w:name w:val="No Spacing"/>
    <w:link w:val="ac"/>
    <w:uiPriority w:val="1"/>
    <w:qFormat/>
    <w:rsid w:val="00E421E1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c">
    <w:name w:val="Без интервала Знак"/>
    <w:link w:val="ab"/>
    <w:uiPriority w:val="1"/>
    <w:locked/>
    <w:rsid w:val="00E421E1"/>
    <w:rPr>
      <w:rFonts w:ascii="Calibri" w:eastAsia="Times New Roman" w:hAnsi="Calibri" w:cs="Times New Roman"/>
    </w:rPr>
  </w:style>
  <w:style w:type="paragraph" w:customStyle="1" w:styleId="FR1">
    <w:name w:val="FR1"/>
    <w:rsid w:val="00E421E1"/>
    <w:pPr>
      <w:widowControl w:val="0"/>
      <w:overflowPunct w:val="0"/>
      <w:autoSpaceDE w:val="0"/>
      <w:autoSpaceDN w:val="0"/>
      <w:adjustRightInd w:val="0"/>
      <w:spacing w:before="2100" w:after="0" w:line="240" w:lineRule="auto"/>
      <w:ind w:left="320"/>
      <w:jc w:val="center"/>
      <w:textAlignment w:val="baseline"/>
    </w:pPr>
    <w:rPr>
      <w:rFonts w:ascii="Times New Roman" w:eastAsia="Times New Roman" w:hAnsi="Times New Roman" w:cs="Times New Roman"/>
      <w:b/>
      <w:sz w:val="40"/>
      <w:szCs w:val="20"/>
    </w:rPr>
  </w:style>
  <w:style w:type="paragraph" w:customStyle="1" w:styleId="Style5">
    <w:name w:val="Style5"/>
    <w:basedOn w:val="a"/>
    <w:uiPriority w:val="99"/>
    <w:rsid w:val="00177C0E"/>
    <w:pPr>
      <w:widowControl w:val="0"/>
      <w:autoSpaceDE w:val="0"/>
      <w:autoSpaceDN w:val="0"/>
      <w:adjustRightInd w:val="0"/>
      <w:spacing w:after="0" w:line="322" w:lineRule="exact"/>
      <w:ind w:firstLine="427"/>
    </w:pPr>
    <w:rPr>
      <w:rFonts w:ascii="Times New Roman" w:hAnsi="Times New Roman" w:cs="Times New Roman"/>
      <w:sz w:val="24"/>
      <w:szCs w:val="24"/>
    </w:rPr>
  </w:style>
  <w:style w:type="character" w:customStyle="1" w:styleId="FontStyle50">
    <w:name w:val="Font Style50"/>
    <w:basedOn w:val="a0"/>
    <w:uiPriority w:val="99"/>
    <w:rsid w:val="00177C0E"/>
    <w:rPr>
      <w:rFonts w:ascii="Times New Roman" w:hAnsi="Times New Roman" w:cs="Times New Roman" w:hint="default"/>
      <w:i/>
      <w:iCs/>
      <w:sz w:val="26"/>
      <w:szCs w:val="26"/>
    </w:rPr>
  </w:style>
  <w:style w:type="paragraph" w:styleId="ad">
    <w:name w:val="Title"/>
    <w:basedOn w:val="a"/>
    <w:link w:val="ae"/>
    <w:qFormat/>
    <w:rsid w:val="00177C0E"/>
    <w:pPr>
      <w:widowControl w:val="0"/>
      <w:spacing w:after="0" w:line="360" w:lineRule="auto"/>
      <w:ind w:left="567" w:right="284" w:firstLine="680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ae">
    <w:name w:val="Название Знак"/>
    <w:basedOn w:val="a0"/>
    <w:link w:val="ad"/>
    <w:rsid w:val="00177C0E"/>
    <w:rPr>
      <w:rFonts w:ascii="Times New Roman" w:eastAsia="Times New Roman" w:hAnsi="Times New Roman" w:cs="Times New Roman"/>
      <w:b/>
      <w:sz w:val="28"/>
      <w:szCs w:val="20"/>
    </w:rPr>
  </w:style>
  <w:style w:type="paragraph" w:styleId="af">
    <w:name w:val="Body Text Indent"/>
    <w:basedOn w:val="a"/>
    <w:link w:val="af0"/>
    <w:uiPriority w:val="99"/>
    <w:semiHidden/>
    <w:unhideWhenUsed/>
    <w:rsid w:val="00177C0E"/>
    <w:pPr>
      <w:spacing w:after="120" w:line="240" w:lineRule="auto"/>
      <w:ind w:left="283"/>
      <w:jc w:val="both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177C0E"/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customStyle="1" w:styleId="Standard">
    <w:name w:val="Standard"/>
    <w:rsid w:val="00177C0E"/>
    <w:pPr>
      <w:suppressAutoHyphens/>
      <w:autoSpaceDN w:val="0"/>
      <w:spacing w:after="0" w:line="240" w:lineRule="auto"/>
    </w:pPr>
    <w:rPr>
      <w:rFonts w:ascii="Times New Roman" w:eastAsia="Arial Unicode MS" w:hAnsi="Times New Roman" w:cs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186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emf"/><Relationship Id="rId18" Type="http://schemas.openxmlformats.org/officeDocument/2006/relationships/image" Target="media/image10.jpeg"/><Relationship Id="rId26" Type="http://schemas.openxmlformats.org/officeDocument/2006/relationships/image" Target="media/image18.emf"/><Relationship Id="rId39" Type="http://schemas.openxmlformats.org/officeDocument/2006/relationships/image" Target="media/image27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oleObject" Target="embeddings/oleObject5.bin"/><Relationship Id="rId42" Type="http://schemas.openxmlformats.org/officeDocument/2006/relationships/image" Target="media/image29.emf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image" Target="media/image17.jpeg"/><Relationship Id="rId33" Type="http://schemas.openxmlformats.org/officeDocument/2006/relationships/image" Target="media/image23.emf"/><Relationship Id="rId38" Type="http://schemas.openxmlformats.org/officeDocument/2006/relationships/image" Target="media/image26.emf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media/image20.emf"/><Relationship Id="rId41" Type="http://schemas.openxmlformats.org/officeDocument/2006/relationships/image" Target="media/image2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jpeg"/><Relationship Id="rId32" Type="http://schemas.openxmlformats.org/officeDocument/2006/relationships/image" Target="media/image22.emf"/><Relationship Id="rId37" Type="http://schemas.openxmlformats.org/officeDocument/2006/relationships/oleObject" Target="embeddings/oleObject6.bin"/><Relationship Id="rId40" Type="http://schemas.openxmlformats.org/officeDocument/2006/relationships/oleObject" Target="embeddings/oleObject7.bin"/><Relationship Id="rId45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oleObject" Target="embeddings/oleObject3.bin"/><Relationship Id="rId36" Type="http://schemas.openxmlformats.org/officeDocument/2006/relationships/image" Target="media/image25.emf"/><Relationship Id="rId10" Type="http://schemas.openxmlformats.org/officeDocument/2006/relationships/oleObject" Target="embeddings/oleObject1.bin"/><Relationship Id="rId19" Type="http://schemas.openxmlformats.org/officeDocument/2006/relationships/image" Target="media/image11.jpeg"/><Relationship Id="rId31" Type="http://schemas.openxmlformats.org/officeDocument/2006/relationships/oleObject" Target="embeddings/oleObject4.bin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1.emf"/><Relationship Id="rId35" Type="http://schemas.openxmlformats.org/officeDocument/2006/relationships/image" Target="media/image24.emf"/><Relationship Id="rId43" Type="http://schemas.openxmlformats.org/officeDocument/2006/relationships/oleObject" Target="embeddings/oleObject8.bin"/><Relationship Id="rId48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4320</Words>
  <Characters>24626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28889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Сорокина Н</dc:creator>
  <cp:lastModifiedBy>lapunova</cp:lastModifiedBy>
  <cp:revision>2</cp:revision>
  <dcterms:created xsi:type="dcterms:W3CDTF">2016-05-31T06:32:00Z</dcterms:created>
  <dcterms:modified xsi:type="dcterms:W3CDTF">2016-05-31T06:32:00Z</dcterms:modified>
</cp:coreProperties>
</file>